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15" w:rsidRPr="00E53370" w:rsidRDefault="00B07015" w:rsidP="00B07015">
      <w:pPr>
        <w:pStyle w:val="Titulo1"/>
      </w:pPr>
      <w:r w:rsidRPr="00E53370">
        <w:t>ACUERDO por el que se reforma la Norma para establecer el formato para la difusión de los resultados de las evaluaciones de los recursos federales ministrados a las entidades federativas.</w:t>
      </w:r>
    </w:p>
    <w:p w:rsidR="00B07015" w:rsidRPr="00E53370" w:rsidRDefault="00B07015" w:rsidP="00B07015">
      <w:pPr>
        <w:pStyle w:val="Texto"/>
        <w:rPr>
          <w:lang w:val="es-MX"/>
        </w:rPr>
      </w:pPr>
    </w:p>
    <w:p w:rsidR="00B07015" w:rsidRDefault="00B07015" w:rsidP="00B07015">
      <w:pPr>
        <w:pStyle w:val="Texto"/>
        <w:spacing w:before="20" w:after="20" w:line="214" w:lineRule="exact"/>
      </w:pPr>
      <w:r w:rsidRPr="00E53370">
        <w:t>El Consejo Nacional de Armonización Contable con fundamento en los artículos 6, 7 y 9 de la Ley General de Contabilidad Gubernamental, aprobó el siguiente:</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ind w:firstLine="0"/>
        <w:jc w:val="center"/>
        <w:rPr>
          <w:b/>
        </w:rPr>
      </w:pPr>
      <w:r w:rsidRPr="00E53370">
        <w:rPr>
          <w:b/>
        </w:rPr>
        <w:t>Acuerdo por el que se Reforma la Norma para establecer el formato para la difusión de los resultados de las evaluaciones de los recursos federales ministrados a las entidades federativas</w:t>
      </w:r>
    </w:p>
    <w:p w:rsidR="005936D0" w:rsidRPr="00E53370" w:rsidRDefault="005936D0" w:rsidP="00B07015">
      <w:pPr>
        <w:pStyle w:val="Texto"/>
        <w:spacing w:before="20" w:after="20" w:line="214" w:lineRule="exact"/>
        <w:ind w:firstLine="0"/>
        <w:jc w:val="center"/>
        <w:rPr>
          <w:b/>
        </w:rPr>
      </w:pPr>
    </w:p>
    <w:p w:rsidR="00B07015" w:rsidRDefault="00B07015" w:rsidP="00B07015">
      <w:pPr>
        <w:pStyle w:val="ANOTACION"/>
        <w:spacing w:before="20" w:after="20" w:line="214" w:lineRule="exact"/>
      </w:pPr>
      <w:r w:rsidRPr="00E53370">
        <w:t>CONSIDERANDOS</w:t>
      </w:r>
    </w:p>
    <w:p w:rsidR="005936D0" w:rsidRPr="00E53370" w:rsidRDefault="005936D0" w:rsidP="00B07015">
      <w:pPr>
        <w:pStyle w:val="ANOTACION"/>
        <w:spacing w:before="20" w:after="20" w:line="214" w:lineRule="exact"/>
      </w:pPr>
    </w:p>
    <w:p w:rsidR="00B07015" w:rsidRDefault="00B07015" w:rsidP="00B07015">
      <w:pPr>
        <w:pStyle w:val="Texto"/>
        <w:spacing w:before="20" w:after="20" w:line="214" w:lineRule="exact"/>
      </w:pPr>
      <w:r w:rsidRPr="00E53370">
        <w:t>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 Así como su reforma el 12 de noviembre de 2012 adicionando el Título Quinto “De la Transparencia y Difusión de la Información Financiera”.</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t>Que en este marco y en cumplimiento de sus funciones, el Consejo Nacional de Armonización Contable (CONAC) publicó en el Diario Oficial de la Federación el 4 de abril de 2013 la Norma para establecer el formato para la difusión de los resultados de las evaluaciones de los recursos federales ministrados a las entidades federativas.</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t>Que es necesario realizar la reforma al punto denominado “Del seguimiento a los resultados y recomendaciones de las evaluaciones”, párrafo 17 de esta Norma.</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t>Por lo expuesto, el Consejo Nacional de Armonización Contable aprobó el siguiente:</w:t>
      </w:r>
    </w:p>
    <w:p w:rsidR="005936D0" w:rsidRPr="00E53370" w:rsidRDefault="005936D0" w:rsidP="00B07015">
      <w:pPr>
        <w:pStyle w:val="Texto"/>
        <w:spacing w:before="20" w:after="20" w:line="214" w:lineRule="exact"/>
      </w:pPr>
    </w:p>
    <w:p w:rsidR="00B07015" w:rsidRPr="00E53370" w:rsidRDefault="00B07015" w:rsidP="00B07015">
      <w:pPr>
        <w:pStyle w:val="ANOTACION"/>
        <w:spacing w:before="20" w:after="20" w:line="214" w:lineRule="exact"/>
      </w:pPr>
      <w:r w:rsidRPr="00E53370">
        <w:t>Acuerdo por el que se Reforma la Norma para establecer el formato para la difusión de los resultados de las evaluaciones de los recursos federales ministrados a las entidades federativas</w:t>
      </w:r>
    </w:p>
    <w:p w:rsidR="00B07015" w:rsidRPr="00E53370" w:rsidRDefault="00B07015" w:rsidP="00B07015">
      <w:pPr>
        <w:pStyle w:val="Texto"/>
        <w:spacing w:before="20" w:after="20" w:line="214" w:lineRule="exact"/>
        <w:rPr>
          <w:b/>
        </w:rPr>
      </w:pPr>
      <w:r w:rsidRPr="00E53370">
        <w:rPr>
          <w:b/>
        </w:rPr>
        <w:t>…</w:t>
      </w:r>
    </w:p>
    <w:p w:rsidR="00B07015" w:rsidRDefault="00B07015" w:rsidP="00B07015">
      <w:pPr>
        <w:pStyle w:val="Texto"/>
        <w:spacing w:before="20" w:after="20" w:line="214" w:lineRule="exact"/>
        <w:rPr>
          <w:b/>
        </w:rPr>
      </w:pPr>
      <w:r w:rsidRPr="00E53370">
        <w:rPr>
          <w:b/>
        </w:rPr>
        <w:t>Del seguimiento a los resultados y recomendaciones de las evaluaciones</w:t>
      </w:r>
    </w:p>
    <w:p w:rsidR="005936D0" w:rsidRPr="00E53370" w:rsidRDefault="005936D0" w:rsidP="00B07015">
      <w:pPr>
        <w:pStyle w:val="Texto"/>
        <w:spacing w:before="20" w:after="20" w:line="214" w:lineRule="exact"/>
        <w:rPr>
          <w:b/>
        </w:rPr>
      </w:pPr>
    </w:p>
    <w:p w:rsidR="00B07015" w:rsidRPr="00E53370" w:rsidRDefault="00B07015" w:rsidP="00B07015">
      <w:pPr>
        <w:pStyle w:val="ROMANOS"/>
        <w:spacing w:before="20" w:after="20" w:line="214" w:lineRule="exact"/>
      </w:pPr>
      <w:r w:rsidRPr="00E53370">
        <w:rPr>
          <w:lang w:val="es-MX"/>
        </w:rPr>
        <w:t>17.</w:t>
      </w:r>
      <w:r w:rsidRPr="00E53370">
        <w:rPr>
          <w:lang w:val="es-MX"/>
        </w:rPr>
        <w:tab/>
      </w:r>
      <w:r w:rsidRPr="00E53370">
        <w:t>Los entes públicos que realicen evaluaciones deberán dar seguimiento a los aspectos susceptibles de mejora derivados de las recomendaciones emitidas en dichas evaluaciones, atendiendo los mecanismos para el seguimiento a los aspectos susceptibles de mejora que correspondan.</w:t>
      </w:r>
    </w:p>
    <w:p w:rsidR="00B07015" w:rsidRPr="00E53370" w:rsidRDefault="00B07015" w:rsidP="00B07015">
      <w:pPr>
        <w:pStyle w:val="Texto"/>
        <w:spacing w:before="20" w:after="20" w:line="214" w:lineRule="exact"/>
        <w:rPr>
          <w:b/>
        </w:rPr>
      </w:pPr>
      <w:r w:rsidRPr="00E53370">
        <w:rPr>
          <w:b/>
        </w:rPr>
        <w:t>…</w:t>
      </w:r>
    </w:p>
    <w:p w:rsidR="00B07015" w:rsidRDefault="00B07015" w:rsidP="00B07015">
      <w:pPr>
        <w:pStyle w:val="ANOTACION"/>
        <w:spacing w:before="20" w:after="20" w:line="214" w:lineRule="exact"/>
      </w:pPr>
      <w:r w:rsidRPr="00E53370">
        <w:t>TRANSITORIOS</w:t>
      </w:r>
    </w:p>
    <w:p w:rsidR="005936D0" w:rsidRPr="00E53370" w:rsidRDefault="005936D0" w:rsidP="00B07015">
      <w:pPr>
        <w:pStyle w:val="ANOTACION"/>
        <w:spacing w:before="20" w:after="20" w:line="214" w:lineRule="exact"/>
      </w:pPr>
    </w:p>
    <w:p w:rsidR="00B07015" w:rsidRDefault="00B07015" w:rsidP="00B07015">
      <w:pPr>
        <w:pStyle w:val="Texto"/>
        <w:spacing w:before="20" w:after="20" w:line="214" w:lineRule="exact"/>
      </w:pPr>
      <w:r w:rsidRPr="00E53370">
        <w:rPr>
          <w:b/>
        </w:rPr>
        <w:t>PRIMERO.-</w:t>
      </w:r>
      <w:r w:rsidRPr="00E53370">
        <w:t xml:space="preserve"> El presente Acuerdo entrará en vigor a partir del día siguiente de su publicación en el Diario Oficial de la Federación.</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rPr>
          <w:b/>
        </w:rPr>
        <w:t xml:space="preserve">SEGUNDO.- </w:t>
      </w:r>
      <w:r w:rsidRPr="00E53370">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rPr>
          <w:b/>
        </w:rPr>
        <w:t xml:space="preserve">TERCERO.- </w:t>
      </w:r>
      <w:r w:rsidRPr="00E53370">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E53370">
        <w:rPr>
          <w:b/>
        </w:rPr>
        <w:t>HAGO CONSTAR Y CERTIFICO</w:t>
      </w:r>
      <w:r w:rsidRPr="00E53370">
        <w:t xml:space="preserve"> que el documento consistente en 1 foja útil, rubricada y cotejada, corresponde con el texto del Acuerdo por el que se Reforma la Norma para establecer el formato para la difusión de los resultados de las evaluaciones de los recursos federales ministrados a las entidades federativas,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5936D0" w:rsidRPr="00E53370" w:rsidRDefault="005936D0" w:rsidP="00B07015">
      <w:pPr>
        <w:pStyle w:val="Texto"/>
        <w:spacing w:before="20" w:after="20" w:line="214" w:lineRule="exact"/>
      </w:pPr>
    </w:p>
    <w:p w:rsidR="00B07015" w:rsidRDefault="00B07015" w:rsidP="00B07015">
      <w:pPr>
        <w:pStyle w:val="Texto"/>
        <w:spacing w:before="20" w:after="20" w:line="214" w:lineRule="exact"/>
      </w:pPr>
      <w:r w:rsidRPr="00E53370">
        <w:t xml:space="preserve">La Secretaria Técnica del Consejo Nacional de Armonización Contable, </w:t>
      </w:r>
      <w:r w:rsidRPr="00E53370">
        <w:rPr>
          <w:b/>
        </w:rPr>
        <w:t>María Teresa Castro Corro</w:t>
      </w:r>
      <w:r w:rsidRPr="00E53370">
        <w:t>.- Rúbrica.</w:t>
      </w:r>
    </w:p>
    <w:p w:rsidR="00B07015" w:rsidRDefault="00B07015">
      <w:pPr>
        <w:spacing w:after="200" w:line="276" w:lineRule="auto"/>
        <w:rPr>
          <w:rFonts w:ascii="Arial" w:hAnsi="Arial" w:cs="Arial"/>
          <w:sz w:val="18"/>
          <w:szCs w:val="20"/>
        </w:rPr>
      </w:pPr>
      <w:r>
        <w:br w:type="page"/>
      </w:r>
    </w:p>
    <w:p w:rsidR="00B07015" w:rsidRPr="001437F0" w:rsidRDefault="00B07015" w:rsidP="00B07015">
      <w:pPr>
        <w:pStyle w:val="Titulo1"/>
      </w:pPr>
      <w:r w:rsidRPr="001437F0">
        <w:lastRenderedPageBreak/>
        <w:t>ACUERDO por el que se reforma y adiciona el Manual de Contabilidad Gubernamental.</w:t>
      </w:r>
    </w:p>
    <w:p w:rsidR="00B07015" w:rsidRPr="001437F0" w:rsidRDefault="00B07015" w:rsidP="00B07015">
      <w:pPr>
        <w:pStyle w:val="Texto"/>
        <w:spacing w:after="40" w:line="202" w:lineRule="exact"/>
        <w:rPr>
          <w:lang w:val="es-MX"/>
        </w:rPr>
      </w:pPr>
    </w:p>
    <w:p w:rsidR="00B07015" w:rsidRPr="001437F0" w:rsidRDefault="00B07015" w:rsidP="00B07015">
      <w:pPr>
        <w:pStyle w:val="Texto"/>
        <w:spacing w:after="40" w:line="202" w:lineRule="exact"/>
      </w:pPr>
      <w:r w:rsidRPr="001437F0">
        <w:t>El Consejo Nacional de Armonización Contable con fundamento en los artículos 6, 7 y 9 de la Ley General de Contabilidad Gubernamental, aprobó el siguiente:</w:t>
      </w:r>
    </w:p>
    <w:p w:rsidR="00B07015" w:rsidRPr="001437F0" w:rsidRDefault="00B07015" w:rsidP="00B07015">
      <w:pPr>
        <w:pStyle w:val="Texto"/>
        <w:spacing w:after="40" w:line="202" w:lineRule="exact"/>
        <w:ind w:firstLine="0"/>
        <w:jc w:val="center"/>
        <w:rPr>
          <w:b/>
        </w:rPr>
      </w:pPr>
      <w:r w:rsidRPr="001437F0">
        <w:rPr>
          <w:b/>
        </w:rPr>
        <w:t>Acuerdo por el que se Reforma y Adiciona el Manual de Contabilidad Gubernamental</w:t>
      </w:r>
    </w:p>
    <w:p w:rsidR="00B07015" w:rsidRPr="001437F0" w:rsidRDefault="00B07015" w:rsidP="00B07015">
      <w:pPr>
        <w:pStyle w:val="ANOTACION"/>
        <w:spacing w:after="40" w:line="202" w:lineRule="exact"/>
      </w:pPr>
      <w:r w:rsidRPr="001437F0">
        <w:t>CONSIDERANDOS</w:t>
      </w:r>
    </w:p>
    <w:p w:rsidR="00B07015" w:rsidRDefault="00B07015" w:rsidP="00B07015">
      <w:pPr>
        <w:pStyle w:val="Texto"/>
        <w:spacing w:after="40" w:line="202" w:lineRule="exact"/>
      </w:pPr>
      <w:r w:rsidRPr="001437F0">
        <w:t>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5936D0" w:rsidRPr="001437F0" w:rsidRDefault="005936D0" w:rsidP="00B07015">
      <w:pPr>
        <w:pStyle w:val="Texto"/>
        <w:spacing w:after="40" w:line="202" w:lineRule="exact"/>
      </w:pPr>
    </w:p>
    <w:p w:rsidR="00B07015" w:rsidRDefault="00B07015" w:rsidP="00B07015">
      <w:pPr>
        <w:pStyle w:val="Texto"/>
        <w:spacing w:after="40" w:line="202" w:lineRule="exact"/>
      </w:pPr>
      <w:r w:rsidRPr="001437F0">
        <w:t>Que en este marco y en cumplimiento de sus funciones, el Consejo Nacional de Armonización Contable (CONAC) publicó en el Diario Oficial de la Federación el 22 de noviembre de 2010, el Acuerdo por el que se emite el Manual de Contabilidad Gubernamental.</w:t>
      </w:r>
    </w:p>
    <w:p w:rsidR="005936D0" w:rsidRPr="001437F0" w:rsidRDefault="005936D0" w:rsidP="00B07015">
      <w:pPr>
        <w:pStyle w:val="Texto"/>
        <w:spacing w:after="40" w:line="202" w:lineRule="exact"/>
      </w:pPr>
    </w:p>
    <w:p w:rsidR="00B07015" w:rsidRDefault="00B07015" w:rsidP="00B07015">
      <w:pPr>
        <w:pStyle w:val="Texto"/>
        <w:spacing w:after="40" w:line="202" w:lineRule="exact"/>
      </w:pPr>
      <w:r w:rsidRPr="001437F0">
        <w:t>Que el 22 de diciembre de 2014 se aprobó por el CONAC el Acuerdo por el que Reforma y Adiciona el Clasificador por Objeto del Gasto (COG) en el que se adicionan en los apartados D. y E. las partidas 469. Otras transferencias a fideicomisos y 759. Otras inversiones en fideicomisos, para contribuir a que la información presupuestaria generada por los entes autónomos contenga los elementos necesarios para dar cumplimiento a lo dispuesto en los artículos 46 y 47 de la Ley.</w:t>
      </w:r>
    </w:p>
    <w:p w:rsidR="005936D0" w:rsidRPr="001437F0" w:rsidRDefault="005936D0" w:rsidP="00B07015">
      <w:pPr>
        <w:pStyle w:val="Texto"/>
        <w:spacing w:after="40" w:line="202" w:lineRule="exact"/>
      </w:pPr>
    </w:p>
    <w:p w:rsidR="00B07015" w:rsidRDefault="00B07015" w:rsidP="00B07015">
      <w:pPr>
        <w:pStyle w:val="Texto"/>
        <w:spacing w:after="40" w:line="202" w:lineRule="exact"/>
      </w:pPr>
      <w:r w:rsidRPr="001437F0">
        <w:t>Que es necesario realizar las reformas y adiciones al Manual de Contabilidad Gubernamental que corresponden a las partidas descritas en el párrafo anterior.</w:t>
      </w:r>
    </w:p>
    <w:p w:rsidR="005936D0" w:rsidRPr="001437F0" w:rsidRDefault="005936D0" w:rsidP="00B07015">
      <w:pPr>
        <w:pStyle w:val="Texto"/>
        <w:spacing w:after="40" w:line="202" w:lineRule="exact"/>
      </w:pPr>
    </w:p>
    <w:p w:rsidR="00B07015" w:rsidRDefault="00B07015" w:rsidP="00B07015">
      <w:pPr>
        <w:pStyle w:val="Texto"/>
        <w:spacing w:after="40" w:line="202" w:lineRule="exact"/>
      </w:pPr>
      <w:r w:rsidRPr="001437F0">
        <w:t>Por lo expuesto, el Consejo Nacional de Armonización Contable aprobó el siguiente:</w:t>
      </w:r>
    </w:p>
    <w:p w:rsidR="005936D0" w:rsidRPr="001437F0" w:rsidRDefault="005936D0" w:rsidP="00B07015">
      <w:pPr>
        <w:pStyle w:val="Texto"/>
        <w:spacing w:after="40" w:line="202" w:lineRule="exact"/>
      </w:pPr>
    </w:p>
    <w:p w:rsidR="00B07015" w:rsidRDefault="00B07015" w:rsidP="00B07015">
      <w:pPr>
        <w:pStyle w:val="ANOTACION"/>
        <w:spacing w:after="40" w:line="202" w:lineRule="exact"/>
      </w:pPr>
      <w:r w:rsidRPr="001437F0">
        <w:t>Acuerdo por el que se Reforma y Adiciona el Manual de Contabilidad Gubernamental</w:t>
      </w:r>
    </w:p>
    <w:p w:rsidR="005936D0" w:rsidRPr="001437F0" w:rsidRDefault="005936D0" w:rsidP="00B07015">
      <w:pPr>
        <w:pStyle w:val="ANOTACION"/>
        <w:spacing w:after="40" w:line="202" w:lineRule="exact"/>
      </w:pPr>
    </w:p>
    <w:p w:rsidR="00B07015" w:rsidRPr="001437F0" w:rsidRDefault="00B07015" w:rsidP="00B07015">
      <w:pPr>
        <w:pStyle w:val="Texto"/>
        <w:spacing w:after="40" w:line="202" w:lineRule="exact"/>
      </w:pPr>
      <w:r w:rsidRPr="001437F0">
        <w:t>Se reforma el Capítulo III para modificar el nombre en la Relación Contable/Presupuestaria del Plan de Cuentas de la Subcuenta 1.2.1.3.9, así como de la partida del COG 759; el Capítulo IV Instructivos de Manejo de Cuentas, para reformar en el instructivo de la cuenta 1.2.1.3 el nombre de la subcuenta 1.2.1.3.9 y de la partida del COG 759, y se adiciona en el instructivo de la cuenta 5.2.6.1 en el cargo 1 un renglón por concepto de Otras transferencias a fideicomisos y en el apartado de observaciones el COG 469; el Capítulo V Modelos de Asientos para el Registro Contable se reforma en el asiento I de apertura y en el asiento VI.4.1.1 el nombre de la subcuenta 1.2.1.3.9; el Capítulo VI Guías Contabilizadoras en la guía VI.5 Inversiones Financieras en el asiento 1 el nombre de la subcuenta 1.2.1.3.9; y en el Anexo I Matrices de Conversión en la A.1. Matriz Devengado de Gastos se adiciona la partida del COG 469 con sus respectivas cuentas de cargo y abono, se reforma el nombre de la partida del COG 759 así como de la subcuenta de cargo 1.2.1.3.9, se sustituye la cuenta 2.1.6.4 relacionada a los COG 751, 752, 753, 754, 755, 756, 757, 758, y 759 por la cuenta 2.1.1.5 y se adiciona una nota sobre la desagregación del COG 469, en la A.2. Matriz Pagado de Gastos se adiciona la partida del COG 469 con sus respectivas cuentas de cargo y abono, se reforma el nombre de la partida del COG 759, y se sustituye la cuenta 2.1.6.4 relacionada a los COG 751, 752, 753, 754, 755, 756, 757, 758, y 759 por la cuenta 2.1.1.5, para quedar como sigue:</w:t>
      </w:r>
    </w:p>
    <w:p w:rsidR="00B07015" w:rsidRPr="001437F0" w:rsidRDefault="00B07015" w:rsidP="00B07015">
      <w:pPr>
        <w:pStyle w:val="Texto"/>
        <w:spacing w:after="72"/>
        <w:ind w:firstLine="0"/>
        <w:jc w:val="center"/>
        <w:rPr>
          <w:b/>
          <w:i/>
        </w:rPr>
      </w:pPr>
      <w:r w:rsidRPr="001437F0">
        <w:rPr>
          <w:b/>
          <w:i/>
        </w:rPr>
        <w:t>Capítulo III Plan de Cuentas</w:t>
      </w:r>
    </w:p>
    <w:p w:rsidR="00B07015" w:rsidRPr="001437F0" w:rsidRDefault="00B07015" w:rsidP="00B07015">
      <w:pPr>
        <w:pStyle w:val="Texto"/>
        <w:spacing w:after="72"/>
        <w:ind w:firstLine="0"/>
        <w:jc w:val="center"/>
        <w:rPr>
          <w:b/>
          <w:smallCaps/>
        </w:rPr>
      </w:pPr>
      <w:r w:rsidRPr="001437F0">
        <w:rPr>
          <w:b/>
          <w:smallCaps/>
        </w:rPr>
        <w:t>Relación Contable/Presupuestaria</w:t>
      </w:r>
    </w:p>
    <w:p w:rsidR="00B07015" w:rsidRPr="001437F0" w:rsidRDefault="00B07015" w:rsidP="00B07015">
      <w:pPr>
        <w:pStyle w:val="Texto"/>
        <w:spacing w:after="72"/>
        <w:rPr>
          <w:b/>
        </w:rPr>
      </w:pPr>
      <w:r w:rsidRPr="001437F0">
        <w:rPr>
          <w:b/>
        </w:rPr>
        <w:t>…</w:t>
      </w:r>
    </w:p>
    <w:tbl>
      <w:tblPr>
        <w:tblW w:w="8712" w:type="dxa"/>
        <w:tblInd w:w="144" w:type="dxa"/>
        <w:tblLayout w:type="fixed"/>
        <w:tblCellMar>
          <w:left w:w="70" w:type="dxa"/>
          <w:right w:w="70" w:type="dxa"/>
        </w:tblCellMar>
        <w:tblLook w:val="0000" w:firstRow="0" w:lastRow="0" w:firstColumn="0" w:lastColumn="0" w:noHBand="0" w:noVBand="0"/>
      </w:tblPr>
      <w:tblGrid>
        <w:gridCol w:w="916"/>
        <w:gridCol w:w="3542"/>
        <w:gridCol w:w="4254"/>
      </w:tblGrid>
      <w:tr w:rsidR="00B07015" w:rsidRPr="001437F0" w:rsidTr="001A3359">
        <w:trPr>
          <w:trHeight w:val="20"/>
        </w:trPr>
        <w:tc>
          <w:tcPr>
            <w:tcW w:w="4458" w:type="dxa"/>
            <w:gridSpan w:val="2"/>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color w:val="000000"/>
                <w:szCs w:val="16"/>
                <w:lang w:val="es-MX"/>
              </w:rPr>
            </w:pPr>
            <w:r w:rsidRPr="001437F0">
              <w:rPr>
                <w:b/>
                <w:smallCaps/>
                <w:color w:val="000000"/>
                <w:szCs w:val="16"/>
              </w:rPr>
              <w:t>Subcuentas armonizadas para dar cumplimiento con la Ley de Contabilidad</w:t>
            </w:r>
          </w:p>
        </w:tc>
        <w:tc>
          <w:tcPr>
            <w:tcW w:w="425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color w:val="000000"/>
                <w:szCs w:val="16"/>
                <w:lang w:val="es-MX"/>
              </w:rPr>
            </w:pPr>
            <w:r w:rsidRPr="001437F0">
              <w:rPr>
                <w:b/>
                <w:smallCaps/>
                <w:color w:val="000000"/>
                <w:szCs w:val="16"/>
              </w:rPr>
              <w:t>CLASIFICADOR POR OBJETO DE GASTO</w:t>
            </w:r>
          </w:p>
        </w:tc>
      </w:tr>
      <w:tr w:rsidR="00B07015" w:rsidRPr="001437F0" w:rsidTr="001A3359">
        <w:trPr>
          <w:trHeight w:val="20"/>
        </w:trPr>
        <w:tc>
          <w:tcPr>
            <w:tcW w:w="916"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b/>
                <w:color w:val="000000"/>
                <w:szCs w:val="16"/>
                <w:lang w:val="es-MX"/>
              </w:rPr>
            </w:pPr>
            <w:r w:rsidRPr="001437F0">
              <w:rPr>
                <w:b/>
                <w:color w:val="000000"/>
                <w:szCs w:val="16"/>
              </w:rPr>
              <w:t>1.2.1.3</w:t>
            </w:r>
          </w:p>
        </w:tc>
        <w:tc>
          <w:tcPr>
            <w:tcW w:w="3542"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b/>
                <w:color w:val="000000"/>
                <w:szCs w:val="16"/>
                <w:lang w:val="es-MX"/>
              </w:rPr>
            </w:pPr>
            <w:r w:rsidRPr="001437F0">
              <w:rPr>
                <w:b/>
                <w:color w:val="000000"/>
                <w:szCs w:val="16"/>
              </w:rPr>
              <w:t>Fideicomisos, Mandatos y Contratos Análogos</w:t>
            </w:r>
          </w:p>
        </w:tc>
        <w:tc>
          <w:tcPr>
            <w:tcW w:w="425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b/>
                <w:color w:val="000000"/>
                <w:szCs w:val="16"/>
                <w:lang w:val="es-MX"/>
              </w:rPr>
            </w:pPr>
            <w:r w:rsidRPr="001437F0">
              <w:rPr>
                <w:b/>
                <w:color w:val="000000"/>
                <w:szCs w:val="16"/>
              </w:rPr>
              <w:t>7500 INVERSIONES EN FIDEICOMISOS, MANDATOS Y OTROS ANALOGOS</w:t>
            </w:r>
          </w:p>
        </w:tc>
      </w:tr>
      <w:tr w:rsidR="00B07015" w:rsidRPr="001437F0" w:rsidTr="001A3359">
        <w:trPr>
          <w:trHeight w:val="20"/>
        </w:trPr>
        <w:tc>
          <w:tcPr>
            <w:tcW w:w="916"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color w:val="000000"/>
                <w:szCs w:val="16"/>
              </w:rPr>
            </w:pPr>
          </w:p>
        </w:tc>
        <w:tc>
          <w:tcPr>
            <w:tcW w:w="3542"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color w:val="000000"/>
                <w:szCs w:val="16"/>
              </w:rPr>
            </w:pPr>
            <w:r w:rsidRPr="001437F0">
              <w:rPr>
                <w:b/>
                <w:color w:val="000000"/>
                <w:szCs w:val="16"/>
              </w:rPr>
              <w:t>…</w:t>
            </w:r>
          </w:p>
        </w:tc>
        <w:tc>
          <w:tcPr>
            <w:tcW w:w="425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color w:val="000000"/>
                <w:szCs w:val="16"/>
              </w:rPr>
            </w:pPr>
            <w:r w:rsidRPr="001437F0">
              <w:rPr>
                <w:b/>
                <w:color w:val="000000"/>
                <w:szCs w:val="16"/>
              </w:rPr>
              <w:t>…</w:t>
            </w:r>
          </w:p>
        </w:tc>
      </w:tr>
      <w:tr w:rsidR="00B07015" w:rsidRPr="001437F0" w:rsidTr="001A3359">
        <w:trPr>
          <w:trHeight w:val="20"/>
        </w:trPr>
        <w:tc>
          <w:tcPr>
            <w:tcW w:w="916"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color w:val="000000"/>
                <w:szCs w:val="16"/>
                <w:lang w:val="es-MX"/>
              </w:rPr>
            </w:pPr>
            <w:r w:rsidRPr="001437F0">
              <w:rPr>
                <w:color w:val="000000"/>
                <w:szCs w:val="16"/>
              </w:rPr>
              <w:t>1.2.1.3.9</w:t>
            </w:r>
          </w:p>
        </w:tc>
        <w:tc>
          <w:tcPr>
            <w:tcW w:w="3542"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color w:val="000000"/>
                <w:szCs w:val="16"/>
                <w:lang w:val="es-MX"/>
              </w:rPr>
            </w:pPr>
            <w:r w:rsidRPr="001437F0">
              <w:rPr>
                <w:color w:val="000000"/>
                <w:szCs w:val="16"/>
              </w:rPr>
              <w:t>Otros Fideicomisos, Mandatos y Contratos Análogos</w:t>
            </w:r>
          </w:p>
        </w:tc>
        <w:tc>
          <w:tcPr>
            <w:tcW w:w="425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color w:val="000000"/>
                <w:szCs w:val="16"/>
                <w:lang w:val="es-MX"/>
              </w:rPr>
            </w:pPr>
            <w:r w:rsidRPr="001437F0">
              <w:rPr>
                <w:color w:val="000000"/>
                <w:szCs w:val="16"/>
              </w:rPr>
              <w:t>759 Otras inversiones en fideicomisos</w:t>
            </w:r>
          </w:p>
        </w:tc>
      </w:tr>
    </w:tbl>
    <w:p w:rsidR="00B07015" w:rsidRDefault="00B07015" w:rsidP="00B07015">
      <w:pPr>
        <w:pStyle w:val="Texto"/>
        <w:spacing w:after="60" w:line="210" w:lineRule="exact"/>
        <w:rPr>
          <w:b/>
          <w:i/>
          <w:u w:val="single"/>
        </w:rPr>
      </w:pPr>
    </w:p>
    <w:p w:rsidR="005936D0" w:rsidRPr="001437F0" w:rsidRDefault="005936D0" w:rsidP="00B07015">
      <w:pPr>
        <w:pStyle w:val="Texto"/>
        <w:spacing w:after="60" w:line="210" w:lineRule="exact"/>
        <w:rPr>
          <w:b/>
          <w:i/>
          <w:u w:val="single"/>
        </w:rPr>
      </w:pPr>
    </w:p>
    <w:p w:rsidR="00B07015" w:rsidRPr="001437F0" w:rsidRDefault="00B07015" w:rsidP="00B07015">
      <w:pPr>
        <w:pStyle w:val="Texto"/>
        <w:spacing w:after="60" w:line="210" w:lineRule="exact"/>
        <w:ind w:firstLine="0"/>
        <w:jc w:val="center"/>
        <w:rPr>
          <w:b/>
          <w:i/>
        </w:rPr>
      </w:pPr>
      <w:r w:rsidRPr="001437F0">
        <w:rPr>
          <w:b/>
          <w:i/>
        </w:rPr>
        <w:lastRenderedPageBreak/>
        <w:t>Capítulo IV Instructivo de Manejo de Cuentas</w:t>
      </w:r>
    </w:p>
    <w:p w:rsidR="00B07015" w:rsidRPr="001437F0" w:rsidRDefault="00B07015" w:rsidP="00B07015">
      <w:pPr>
        <w:pStyle w:val="Texto"/>
        <w:spacing w:after="60" w:line="210" w:lineRule="exact"/>
        <w:rPr>
          <w:b/>
          <w:szCs w:val="14"/>
        </w:rPr>
      </w:pPr>
      <w:r w:rsidRPr="001437F0">
        <w:rPr>
          <w:b/>
          <w:szCs w:val="14"/>
        </w:rPr>
        <w:t>…</w:t>
      </w: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B07015" w:rsidRPr="001437F0" w:rsidTr="001A3359">
        <w:tc>
          <w:tcPr>
            <w:tcW w:w="95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NATURALEZA</w:t>
            </w:r>
          </w:p>
        </w:tc>
      </w:tr>
      <w:tr w:rsidR="00B07015" w:rsidRPr="001437F0" w:rsidTr="001A3359">
        <w:tc>
          <w:tcPr>
            <w:tcW w:w="95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1.2.1.3</w:t>
            </w:r>
          </w:p>
        </w:tc>
        <w:tc>
          <w:tcPr>
            <w:tcW w:w="115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Activo</w:t>
            </w:r>
          </w:p>
        </w:tc>
        <w:tc>
          <w:tcPr>
            <w:tcW w:w="178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Activo No Circulante</w:t>
            </w:r>
          </w:p>
        </w:tc>
        <w:tc>
          <w:tcPr>
            <w:tcW w:w="266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Inversiones Financieras a Largo Plazo</w:t>
            </w:r>
          </w:p>
        </w:tc>
        <w:tc>
          <w:tcPr>
            <w:tcW w:w="215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Deudora</w:t>
            </w:r>
          </w:p>
        </w:tc>
      </w:tr>
      <w:tr w:rsidR="00B07015" w:rsidRPr="001437F0" w:rsidTr="001A3359">
        <w:tc>
          <w:tcPr>
            <w:tcW w:w="957"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szCs w:val="14"/>
              </w:rPr>
            </w:pPr>
            <w:r w:rsidRPr="001437F0">
              <w:rPr>
                <w:b/>
                <w:szCs w:val="14"/>
              </w:rPr>
              <w:t>CUENTA</w:t>
            </w:r>
          </w:p>
        </w:tc>
        <w:tc>
          <w:tcPr>
            <w:tcW w:w="7755" w:type="dxa"/>
            <w:gridSpan w:val="4"/>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szCs w:val="14"/>
              </w:rPr>
            </w:pPr>
            <w:r w:rsidRPr="001437F0">
              <w:rPr>
                <w:szCs w:val="14"/>
              </w:rPr>
              <w:t>Fideicomisos, Mandatos y Contratos Análogos</w:t>
            </w:r>
          </w:p>
        </w:tc>
      </w:tr>
    </w:tbl>
    <w:p w:rsidR="00B07015" w:rsidRPr="001437F0" w:rsidRDefault="00B07015" w:rsidP="00B07015">
      <w:pPr>
        <w:pStyle w:val="Texto"/>
        <w:spacing w:after="7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1008"/>
        <w:gridCol w:w="3330"/>
        <w:gridCol w:w="654"/>
        <w:gridCol w:w="3720"/>
      </w:tblGrid>
      <w:tr w:rsidR="00B07015" w:rsidRPr="001437F0" w:rsidTr="001A3359">
        <w:trPr>
          <w:trHeight w:val="20"/>
        </w:trPr>
        <w:tc>
          <w:tcPr>
            <w:tcW w:w="1008"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No.</w:t>
            </w:r>
          </w:p>
        </w:tc>
        <w:tc>
          <w:tcPr>
            <w:tcW w:w="333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CARGO</w:t>
            </w:r>
          </w:p>
        </w:tc>
        <w:tc>
          <w:tcPr>
            <w:tcW w:w="65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No.</w:t>
            </w:r>
          </w:p>
        </w:tc>
        <w:tc>
          <w:tcPr>
            <w:tcW w:w="372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ABONO</w:t>
            </w:r>
          </w:p>
        </w:tc>
      </w:tr>
      <w:tr w:rsidR="00B07015" w:rsidRPr="001437F0" w:rsidTr="001A3359">
        <w:trPr>
          <w:trHeight w:val="20"/>
        </w:trPr>
        <w:tc>
          <w:tcPr>
            <w:tcW w:w="1008" w:type="dxa"/>
            <w:tcBorders>
              <w:top w:val="single" w:sz="6" w:space="0" w:color="auto"/>
              <w:left w:val="single" w:sz="6" w:space="0" w:color="auto"/>
              <w:bottom w:val="dotDash" w:sz="4" w:space="0" w:color="auto"/>
              <w:right w:val="single" w:sz="4" w:space="0" w:color="auto"/>
            </w:tcBorders>
          </w:tcPr>
          <w:p w:rsidR="00B07015" w:rsidRPr="001437F0" w:rsidRDefault="00B07015" w:rsidP="001A3359">
            <w:pPr>
              <w:pStyle w:val="Texto"/>
              <w:spacing w:after="72"/>
              <w:ind w:firstLine="0"/>
              <w:jc w:val="center"/>
              <w:rPr>
                <w:szCs w:val="14"/>
              </w:rPr>
            </w:pPr>
            <w:r w:rsidRPr="001437F0">
              <w:rPr>
                <w:szCs w:val="14"/>
              </w:rPr>
              <w:t>1</w:t>
            </w:r>
          </w:p>
        </w:tc>
        <w:tc>
          <w:tcPr>
            <w:tcW w:w="3330" w:type="dxa"/>
            <w:tcBorders>
              <w:top w:val="single" w:sz="6" w:space="0" w:color="auto"/>
              <w:left w:val="single" w:sz="4" w:space="0" w:color="auto"/>
              <w:bottom w:val="dotDash" w:sz="4" w:space="0" w:color="auto"/>
              <w:right w:val="single" w:sz="4" w:space="0" w:color="auto"/>
            </w:tcBorders>
          </w:tcPr>
          <w:p w:rsidR="00B07015" w:rsidRPr="001437F0" w:rsidRDefault="00B07015" w:rsidP="001A3359">
            <w:pPr>
              <w:pStyle w:val="Texto"/>
              <w:spacing w:after="72"/>
              <w:ind w:firstLine="0"/>
              <w:rPr>
                <w:szCs w:val="14"/>
              </w:rPr>
            </w:pPr>
            <w:r w:rsidRPr="001437F0">
              <w:rPr>
                <w:b/>
                <w:szCs w:val="14"/>
              </w:rPr>
              <w:t>…</w:t>
            </w:r>
          </w:p>
        </w:tc>
        <w:tc>
          <w:tcPr>
            <w:tcW w:w="654" w:type="dxa"/>
            <w:tcBorders>
              <w:top w:val="single" w:sz="6" w:space="0" w:color="auto"/>
              <w:left w:val="single" w:sz="4" w:space="0" w:color="auto"/>
              <w:bottom w:val="dotDash" w:sz="4" w:space="0" w:color="auto"/>
              <w:right w:val="single" w:sz="4" w:space="0" w:color="auto"/>
            </w:tcBorders>
          </w:tcPr>
          <w:p w:rsidR="00B07015" w:rsidRPr="001437F0" w:rsidRDefault="00B07015" w:rsidP="001A3359">
            <w:pPr>
              <w:pStyle w:val="Texto"/>
              <w:spacing w:after="72"/>
              <w:ind w:firstLine="0"/>
              <w:jc w:val="center"/>
              <w:rPr>
                <w:szCs w:val="14"/>
              </w:rPr>
            </w:pPr>
            <w:r w:rsidRPr="001437F0">
              <w:rPr>
                <w:szCs w:val="14"/>
              </w:rPr>
              <w:t>1</w:t>
            </w:r>
          </w:p>
        </w:tc>
        <w:tc>
          <w:tcPr>
            <w:tcW w:w="3720" w:type="dxa"/>
            <w:tcBorders>
              <w:top w:val="single" w:sz="6" w:space="0" w:color="auto"/>
              <w:left w:val="single" w:sz="4" w:space="0" w:color="auto"/>
              <w:bottom w:val="dotDash" w:sz="4" w:space="0" w:color="auto"/>
              <w:right w:val="single" w:sz="6" w:space="0" w:color="auto"/>
            </w:tcBorders>
          </w:tcPr>
          <w:p w:rsidR="00B07015" w:rsidRPr="001437F0" w:rsidRDefault="00B07015" w:rsidP="001A3359">
            <w:pPr>
              <w:pStyle w:val="Texto"/>
              <w:spacing w:after="72"/>
              <w:ind w:firstLine="0"/>
              <w:rPr>
                <w:szCs w:val="14"/>
              </w:rPr>
            </w:pPr>
            <w:r w:rsidRPr="001437F0">
              <w:rPr>
                <w:b/>
                <w:szCs w:val="14"/>
              </w:rPr>
              <w:t>…</w:t>
            </w:r>
          </w:p>
        </w:tc>
      </w:tr>
      <w:tr w:rsidR="00B07015" w:rsidRPr="001437F0" w:rsidTr="001A3359">
        <w:trPr>
          <w:trHeight w:val="20"/>
        </w:trPr>
        <w:tc>
          <w:tcPr>
            <w:tcW w:w="1008" w:type="dxa"/>
            <w:tcBorders>
              <w:top w:val="dotDash" w:sz="4" w:space="0" w:color="auto"/>
              <w:left w:val="single" w:sz="6" w:space="0" w:color="auto"/>
            </w:tcBorders>
          </w:tcPr>
          <w:p w:rsidR="00B07015" w:rsidRPr="001437F0" w:rsidRDefault="00B07015" w:rsidP="001A3359">
            <w:pPr>
              <w:pStyle w:val="Texto"/>
              <w:spacing w:after="72"/>
              <w:ind w:firstLine="0"/>
              <w:rPr>
                <w:szCs w:val="14"/>
              </w:rPr>
            </w:pPr>
          </w:p>
        </w:tc>
        <w:tc>
          <w:tcPr>
            <w:tcW w:w="3330" w:type="dxa"/>
            <w:tcBorders>
              <w:top w:val="dotDash" w:sz="4" w:space="0" w:color="auto"/>
            </w:tcBorders>
          </w:tcPr>
          <w:p w:rsidR="00B07015" w:rsidRPr="001437F0" w:rsidRDefault="00B07015" w:rsidP="001A3359">
            <w:pPr>
              <w:pStyle w:val="Texto"/>
              <w:spacing w:after="72"/>
              <w:ind w:firstLine="0"/>
              <w:rPr>
                <w:szCs w:val="14"/>
              </w:rPr>
            </w:pPr>
            <w:r w:rsidRPr="001437F0">
              <w:rPr>
                <w:b/>
                <w:szCs w:val="14"/>
              </w:rPr>
              <w:t>SUBCUENTAS COMPRENDIDAS</w:t>
            </w:r>
          </w:p>
        </w:tc>
        <w:tc>
          <w:tcPr>
            <w:tcW w:w="654" w:type="dxa"/>
            <w:tcBorders>
              <w:top w:val="dotDash" w:sz="4" w:space="0" w:color="auto"/>
            </w:tcBorders>
          </w:tcPr>
          <w:p w:rsidR="00B07015" w:rsidRPr="001437F0" w:rsidRDefault="00B07015" w:rsidP="001A3359">
            <w:pPr>
              <w:pStyle w:val="Texto"/>
              <w:spacing w:after="72"/>
              <w:ind w:firstLine="0"/>
              <w:rPr>
                <w:szCs w:val="14"/>
              </w:rPr>
            </w:pPr>
          </w:p>
        </w:tc>
        <w:tc>
          <w:tcPr>
            <w:tcW w:w="3720" w:type="dxa"/>
            <w:tcBorders>
              <w:top w:val="dotDash" w:sz="4" w:space="0" w:color="auto"/>
              <w:right w:val="single" w:sz="6" w:space="0" w:color="auto"/>
            </w:tcBorders>
          </w:tcPr>
          <w:p w:rsidR="00B07015" w:rsidRPr="001437F0" w:rsidRDefault="00B07015" w:rsidP="001A3359">
            <w:pPr>
              <w:pStyle w:val="Texto"/>
              <w:spacing w:after="72"/>
              <w:ind w:firstLine="0"/>
            </w:pPr>
            <w:r w:rsidRPr="001437F0">
              <w:rPr>
                <w:b/>
                <w:szCs w:val="14"/>
              </w:rPr>
              <w:t>PARTIDAS DEL COG RELACIONADAS</w:t>
            </w:r>
          </w:p>
        </w:tc>
      </w:tr>
      <w:tr w:rsidR="00B07015" w:rsidRPr="001437F0" w:rsidTr="001A3359">
        <w:trPr>
          <w:trHeight w:val="20"/>
        </w:trPr>
        <w:tc>
          <w:tcPr>
            <w:tcW w:w="1008" w:type="dxa"/>
            <w:tcBorders>
              <w:left w:val="single" w:sz="6" w:space="0" w:color="auto"/>
            </w:tcBorders>
          </w:tcPr>
          <w:p w:rsidR="00B07015" w:rsidRPr="001437F0" w:rsidRDefault="00B07015" w:rsidP="001A3359">
            <w:pPr>
              <w:pStyle w:val="Texto"/>
              <w:spacing w:after="72"/>
              <w:ind w:firstLine="0"/>
              <w:rPr>
                <w:szCs w:val="14"/>
              </w:rPr>
            </w:pPr>
            <w:r w:rsidRPr="001437F0">
              <w:rPr>
                <w:b/>
                <w:szCs w:val="14"/>
              </w:rPr>
              <w:t>…</w:t>
            </w:r>
          </w:p>
        </w:tc>
        <w:tc>
          <w:tcPr>
            <w:tcW w:w="3330" w:type="dxa"/>
          </w:tcPr>
          <w:p w:rsidR="00B07015" w:rsidRPr="001437F0" w:rsidRDefault="00B07015" w:rsidP="001A3359">
            <w:pPr>
              <w:pStyle w:val="Texto"/>
              <w:spacing w:after="72"/>
              <w:ind w:firstLine="0"/>
              <w:rPr>
                <w:b/>
                <w:szCs w:val="14"/>
              </w:rPr>
            </w:pPr>
          </w:p>
        </w:tc>
        <w:tc>
          <w:tcPr>
            <w:tcW w:w="654" w:type="dxa"/>
          </w:tcPr>
          <w:p w:rsidR="00B07015" w:rsidRPr="001437F0" w:rsidRDefault="00B07015" w:rsidP="001A3359">
            <w:pPr>
              <w:pStyle w:val="Texto"/>
              <w:spacing w:after="72"/>
              <w:ind w:firstLine="0"/>
              <w:rPr>
                <w:szCs w:val="14"/>
              </w:rPr>
            </w:pPr>
          </w:p>
        </w:tc>
        <w:tc>
          <w:tcPr>
            <w:tcW w:w="3720" w:type="dxa"/>
            <w:tcBorders>
              <w:right w:val="single" w:sz="6" w:space="0" w:color="auto"/>
            </w:tcBorders>
          </w:tcPr>
          <w:p w:rsidR="00B07015" w:rsidRPr="001437F0" w:rsidRDefault="00B07015" w:rsidP="001A3359">
            <w:pPr>
              <w:pStyle w:val="Texto"/>
              <w:spacing w:after="72"/>
              <w:ind w:firstLine="0"/>
              <w:rPr>
                <w:szCs w:val="14"/>
              </w:rPr>
            </w:pPr>
            <w:r w:rsidRPr="001437F0">
              <w:rPr>
                <w:b/>
                <w:szCs w:val="14"/>
              </w:rPr>
              <w:t>…</w:t>
            </w:r>
          </w:p>
        </w:tc>
      </w:tr>
      <w:tr w:rsidR="00B07015" w:rsidRPr="001437F0" w:rsidTr="001A3359">
        <w:trPr>
          <w:trHeight w:val="20"/>
        </w:trPr>
        <w:tc>
          <w:tcPr>
            <w:tcW w:w="1008" w:type="dxa"/>
            <w:tcBorders>
              <w:left w:val="single" w:sz="6" w:space="0" w:color="auto"/>
              <w:bottom w:val="single" w:sz="6" w:space="0" w:color="auto"/>
            </w:tcBorders>
          </w:tcPr>
          <w:p w:rsidR="00B07015" w:rsidRPr="001437F0" w:rsidRDefault="00B07015" w:rsidP="001A3359">
            <w:pPr>
              <w:pStyle w:val="Texto"/>
              <w:spacing w:after="72"/>
              <w:ind w:firstLine="0"/>
              <w:rPr>
                <w:szCs w:val="14"/>
              </w:rPr>
            </w:pPr>
            <w:r w:rsidRPr="001437F0">
              <w:rPr>
                <w:szCs w:val="14"/>
              </w:rPr>
              <w:t>1.2.1.3.9</w:t>
            </w:r>
          </w:p>
        </w:tc>
        <w:tc>
          <w:tcPr>
            <w:tcW w:w="3330" w:type="dxa"/>
            <w:tcBorders>
              <w:bottom w:val="single" w:sz="6" w:space="0" w:color="auto"/>
            </w:tcBorders>
          </w:tcPr>
          <w:p w:rsidR="00B07015" w:rsidRPr="001437F0" w:rsidRDefault="00B07015" w:rsidP="001A3359">
            <w:pPr>
              <w:pStyle w:val="Texto"/>
              <w:spacing w:after="72"/>
              <w:ind w:firstLine="0"/>
              <w:rPr>
                <w:b/>
                <w:szCs w:val="14"/>
              </w:rPr>
            </w:pPr>
            <w:r w:rsidRPr="001437F0">
              <w:rPr>
                <w:szCs w:val="14"/>
              </w:rPr>
              <w:t>Otros Fideicomisos, Mandatos y Contratos Análogos</w:t>
            </w:r>
          </w:p>
        </w:tc>
        <w:tc>
          <w:tcPr>
            <w:tcW w:w="654" w:type="dxa"/>
            <w:tcBorders>
              <w:bottom w:val="single" w:sz="6" w:space="0" w:color="auto"/>
            </w:tcBorders>
          </w:tcPr>
          <w:p w:rsidR="00B07015" w:rsidRPr="001437F0" w:rsidRDefault="00B07015" w:rsidP="001A3359">
            <w:pPr>
              <w:pStyle w:val="Texto"/>
              <w:spacing w:after="72"/>
              <w:ind w:firstLine="0"/>
              <w:rPr>
                <w:szCs w:val="14"/>
              </w:rPr>
            </w:pPr>
            <w:r w:rsidRPr="001437F0">
              <w:rPr>
                <w:szCs w:val="14"/>
              </w:rPr>
              <w:t>759</w:t>
            </w:r>
          </w:p>
        </w:tc>
        <w:tc>
          <w:tcPr>
            <w:tcW w:w="3720" w:type="dxa"/>
            <w:tcBorders>
              <w:bottom w:val="single" w:sz="6" w:space="0" w:color="auto"/>
              <w:right w:val="single" w:sz="6" w:space="0" w:color="auto"/>
            </w:tcBorders>
          </w:tcPr>
          <w:p w:rsidR="00B07015" w:rsidRPr="001437F0" w:rsidRDefault="00B07015" w:rsidP="001A3359">
            <w:pPr>
              <w:pStyle w:val="Texto"/>
              <w:spacing w:after="72"/>
              <w:ind w:firstLine="0"/>
              <w:rPr>
                <w:b/>
                <w:szCs w:val="14"/>
              </w:rPr>
            </w:pPr>
            <w:r w:rsidRPr="001437F0">
              <w:rPr>
                <w:szCs w:val="14"/>
              </w:rPr>
              <w:t>Otras inversiones en fideicomisos</w:t>
            </w:r>
          </w:p>
        </w:tc>
      </w:tr>
      <w:tr w:rsidR="00B07015" w:rsidRPr="001437F0" w:rsidTr="001A335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szCs w:val="14"/>
              </w:rPr>
            </w:pPr>
            <w:r w:rsidRPr="001437F0">
              <w:rPr>
                <w:b/>
                <w:szCs w:val="14"/>
              </w:rPr>
              <w:t>SU SALDO REPRESENTA</w:t>
            </w:r>
          </w:p>
          <w:p w:rsidR="00B07015" w:rsidRPr="001437F0" w:rsidRDefault="00B07015" w:rsidP="001A3359">
            <w:pPr>
              <w:pStyle w:val="Texto"/>
              <w:spacing w:after="72"/>
              <w:ind w:firstLine="0"/>
              <w:rPr>
                <w:szCs w:val="14"/>
              </w:rPr>
            </w:pPr>
            <w:r w:rsidRPr="001437F0">
              <w:rPr>
                <w:b/>
                <w:szCs w:val="14"/>
              </w:rPr>
              <w:t>…</w:t>
            </w:r>
          </w:p>
        </w:tc>
      </w:tr>
      <w:tr w:rsidR="00B07015" w:rsidRPr="001437F0" w:rsidTr="001A335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b/>
                <w:szCs w:val="14"/>
              </w:rPr>
            </w:pPr>
            <w:r w:rsidRPr="001437F0">
              <w:rPr>
                <w:b/>
                <w:szCs w:val="14"/>
              </w:rPr>
              <w:t>OBSERVACIONES</w:t>
            </w:r>
          </w:p>
          <w:p w:rsidR="00B07015" w:rsidRPr="001437F0" w:rsidRDefault="00B07015" w:rsidP="001A3359">
            <w:pPr>
              <w:pStyle w:val="Texto"/>
              <w:spacing w:after="72"/>
              <w:ind w:firstLine="0"/>
              <w:rPr>
                <w:b/>
                <w:szCs w:val="14"/>
              </w:rPr>
            </w:pPr>
            <w:r w:rsidRPr="001437F0">
              <w:rPr>
                <w:b/>
                <w:szCs w:val="14"/>
              </w:rPr>
              <w:t>…</w:t>
            </w:r>
          </w:p>
        </w:tc>
      </w:tr>
    </w:tbl>
    <w:p w:rsidR="00B07015" w:rsidRPr="001437F0" w:rsidRDefault="00B07015" w:rsidP="00B07015">
      <w:pPr>
        <w:pStyle w:val="Texto"/>
        <w:spacing w:after="60" w:line="210" w:lineRule="exact"/>
        <w:rPr>
          <w:b/>
          <w:szCs w:val="14"/>
        </w:rPr>
      </w:pPr>
      <w:r w:rsidRPr="001437F0">
        <w:rPr>
          <w:b/>
          <w:szCs w:val="14"/>
        </w:rPr>
        <w:t>…</w:t>
      </w:r>
    </w:p>
    <w:p w:rsidR="00B07015" w:rsidRPr="001437F0" w:rsidRDefault="00B07015" w:rsidP="00B07015">
      <w:pPr>
        <w:pStyle w:val="Texto"/>
        <w:spacing w:after="60" w:line="210" w:lineRule="exact"/>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957"/>
        <w:gridCol w:w="1152"/>
        <w:gridCol w:w="1782"/>
        <w:gridCol w:w="2662"/>
        <w:gridCol w:w="2159"/>
      </w:tblGrid>
      <w:tr w:rsidR="00B07015" w:rsidRPr="001437F0" w:rsidTr="001A3359">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NUMERO</w:t>
            </w:r>
          </w:p>
        </w:tc>
        <w:tc>
          <w:tcPr>
            <w:tcW w:w="115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GENERO</w:t>
            </w:r>
          </w:p>
        </w:tc>
        <w:tc>
          <w:tcPr>
            <w:tcW w:w="178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GRUPO</w:t>
            </w:r>
          </w:p>
        </w:tc>
        <w:tc>
          <w:tcPr>
            <w:tcW w:w="266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RUBRO</w:t>
            </w:r>
          </w:p>
        </w:tc>
        <w:tc>
          <w:tcPr>
            <w:tcW w:w="215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b/>
                <w:szCs w:val="14"/>
              </w:rPr>
            </w:pPr>
            <w:r w:rsidRPr="001437F0">
              <w:rPr>
                <w:b/>
                <w:szCs w:val="14"/>
              </w:rPr>
              <w:t>NATURALEZA</w:t>
            </w:r>
          </w:p>
        </w:tc>
      </w:tr>
      <w:tr w:rsidR="00B07015" w:rsidRPr="001437F0" w:rsidTr="001A3359">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5.2.6.1</w:t>
            </w:r>
          </w:p>
        </w:tc>
        <w:tc>
          <w:tcPr>
            <w:tcW w:w="115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Gastos y Otras Pérdidas</w:t>
            </w:r>
          </w:p>
        </w:tc>
        <w:tc>
          <w:tcPr>
            <w:tcW w:w="178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Transferencias, Asignaciones, Subsidios y Otras Ayudas</w:t>
            </w:r>
          </w:p>
        </w:tc>
        <w:tc>
          <w:tcPr>
            <w:tcW w:w="266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Transferencias a Fideicomisos, Mandatos y Contratos Análogos</w:t>
            </w:r>
          </w:p>
        </w:tc>
        <w:tc>
          <w:tcPr>
            <w:tcW w:w="215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jc w:val="center"/>
              <w:rPr>
                <w:szCs w:val="14"/>
              </w:rPr>
            </w:pPr>
            <w:r w:rsidRPr="001437F0">
              <w:rPr>
                <w:szCs w:val="14"/>
              </w:rPr>
              <w:t>Deudora</w:t>
            </w:r>
          </w:p>
        </w:tc>
      </w:tr>
      <w:tr w:rsidR="00B07015" w:rsidRPr="001437F0" w:rsidTr="001A3359">
        <w:trPr>
          <w:trHeight w:val="20"/>
        </w:trPr>
        <w:tc>
          <w:tcPr>
            <w:tcW w:w="95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rPr>
                <w:szCs w:val="14"/>
              </w:rPr>
            </w:pPr>
            <w:r w:rsidRPr="001437F0">
              <w:rPr>
                <w:b/>
                <w:szCs w:val="14"/>
              </w:rPr>
              <w:t>CUENTA</w:t>
            </w:r>
          </w:p>
        </w:tc>
        <w:tc>
          <w:tcPr>
            <w:tcW w:w="7755" w:type="dxa"/>
            <w:gridSpan w:val="4"/>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72"/>
              <w:ind w:firstLine="0"/>
              <w:rPr>
                <w:szCs w:val="14"/>
              </w:rPr>
            </w:pPr>
            <w:r w:rsidRPr="001437F0">
              <w:rPr>
                <w:szCs w:val="14"/>
              </w:rPr>
              <w:t>Transferencias a Fideicomisos, Mandatos y Contratos Análogos al Gobierno</w:t>
            </w:r>
          </w:p>
        </w:tc>
      </w:tr>
    </w:tbl>
    <w:p w:rsidR="00B07015" w:rsidRPr="001437F0" w:rsidRDefault="00B07015" w:rsidP="00B07015">
      <w:pPr>
        <w:pStyle w:val="Texto"/>
        <w:spacing w:after="72"/>
        <w:rPr>
          <w:szCs w:val="14"/>
        </w:rPr>
      </w:pPr>
    </w:p>
    <w:tbl>
      <w:tblPr>
        <w:tblW w:w="8712" w:type="dxa"/>
        <w:tblInd w:w="144" w:type="dxa"/>
        <w:tblLayout w:type="fixed"/>
        <w:tblCellMar>
          <w:left w:w="72" w:type="dxa"/>
          <w:right w:w="72" w:type="dxa"/>
        </w:tblCellMar>
        <w:tblLook w:val="0000" w:firstRow="0" w:lastRow="0" w:firstColumn="0" w:lastColumn="0" w:noHBand="0" w:noVBand="0"/>
      </w:tblPr>
      <w:tblGrid>
        <w:gridCol w:w="580"/>
        <w:gridCol w:w="3804"/>
        <w:gridCol w:w="524"/>
        <w:gridCol w:w="3804"/>
      </w:tblGrid>
      <w:tr w:rsidR="00B07015" w:rsidRPr="001437F0" w:rsidTr="001A3359">
        <w:trPr>
          <w:trHeight w:val="20"/>
        </w:trPr>
        <w:tc>
          <w:tcPr>
            <w:tcW w:w="58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No.</w:t>
            </w:r>
          </w:p>
        </w:tc>
        <w:tc>
          <w:tcPr>
            <w:tcW w:w="380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CARGO</w:t>
            </w:r>
          </w:p>
        </w:tc>
        <w:tc>
          <w:tcPr>
            <w:tcW w:w="52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No.</w:t>
            </w:r>
          </w:p>
        </w:tc>
        <w:tc>
          <w:tcPr>
            <w:tcW w:w="380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b/>
                <w:szCs w:val="14"/>
              </w:rPr>
            </w:pPr>
            <w:r w:rsidRPr="001437F0">
              <w:rPr>
                <w:b/>
                <w:szCs w:val="14"/>
              </w:rPr>
              <w:t>ABONO</w:t>
            </w:r>
          </w:p>
        </w:tc>
      </w:tr>
      <w:tr w:rsidR="00B07015" w:rsidRPr="001437F0" w:rsidTr="001A3359">
        <w:trPr>
          <w:trHeight w:val="20"/>
        </w:trPr>
        <w:tc>
          <w:tcPr>
            <w:tcW w:w="58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szCs w:val="14"/>
              </w:rPr>
            </w:pPr>
            <w:r w:rsidRPr="001437F0">
              <w:rPr>
                <w:szCs w:val="14"/>
              </w:rPr>
              <w:t>1</w:t>
            </w:r>
          </w:p>
        </w:tc>
        <w:tc>
          <w:tcPr>
            <w:tcW w:w="380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szCs w:val="14"/>
              </w:rPr>
            </w:pPr>
            <w:r w:rsidRPr="001437F0">
              <w:rPr>
                <w:b/>
                <w:szCs w:val="14"/>
              </w:rPr>
              <w:t>…</w:t>
            </w:r>
          </w:p>
          <w:p w:rsidR="00B07015" w:rsidRPr="001437F0" w:rsidRDefault="00B07015" w:rsidP="001A3359">
            <w:pPr>
              <w:pStyle w:val="Texto"/>
              <w:spacing w:after="72"/>
              <w:ind w:left="432" w:hanging="432"/>
              <w:rPr>
                <w:szCs w:val="14"/>
              </w:rPr>
            </w:pPr>
            <w:r w:rsidRPr="001437F0">
              <w:rPr>
                <w:szCs w:val="14"/>
              </w:rPr>
              <w:t>-</w:t>
            </w:r>
            <w:r w:rsidRPr="001437F0">
              <w:rPr>
                <w:szCs w:val="14"/>
              </w:rPr>
              <w:tab/>
            </w:r>
            <w:r w:rsidRPr="001437F0">
              <w:rPr>
                <w:b/>
                <w:szCs w:val="14"/>
              </w:rPr>
              <w:t>…</w:t>
            </w:r>
            <w:r w:rsidRPr="001437F0">
              <w:rPr>
                <w:szCs w:val="14"/>
              </w:rPr>
              <w:t>.</w:t>
            </w:r>
          </w:p>
          <w:p w:rsidR="00B07015" w:rsidRPr="001437F0" w:rsidRDefault="00B07015" w:rsidP="001A3359">
            <w:pPr>
              <w:pStyle w:val="Texto"/>
              <w:spacing w:after="72"/>
              <w:ind w:left="432" w:hanging="432"/>
              <w:rPr>
                <w:szCs w:val="14"/>
              </w:rPr>
            </w:pPr>
            <w:r w:rsidRPr="001437F0">
              <w:rPr>
                <w:szCs w:val="14"/>
              </w:rPr>
              <w:t>-</w:t>
            </w:r>
            <w:r w:rsidRPr="001437F0">
              <w:rPr>
                <w:szCs w:val="14"/>
              </w:rPr>
              <w:tab/>
              <w:t>Otras transferencias a fideicomisos</w:t>
            </w:r>
          </w:p>
          <w:p w:rsidR="00B07015" w:rsidRPr="001437F0" w:rsidRDefault="00B07015" w:rsidP="001A3359">
            <w:pPr>
              <w:pStyle w:val="Texto"/>
              <w:spacing w:after="72"/>
              <w:ind w:firstLine="0"/>
              <w:rPr>
                <w:szCs w:val="14"/>
              </w:rPr>
            </w:pPr>
          </w:p>
        </w:tc>
        <w:tc>
          <w:tcPr>
            <w:tcW w:w="52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jc w:val="center"/>
              <w:rPr>
                <w:szCs w:val="14"/>
              </w:rPr>
            </w:pPr>
            <w:r w:rsidRPr="001437F0">
              <w:rPr>
                <w:szCs w:val="14"/>
              </w:rPr>
              <w:t>1</w:t>
            </w:r>
          </w:p>
        </w:tc>
        <w:tc>
          <w:tcPr>
            <w:tcW w:w="380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72"/>
              <w:ind w:firstLine="0"/>
              <w:rPr>
                <w:szCs w:val="14"/>
              </w:rPr>
            </w:pPr>
            <w:r w:rsidRPr="001437F0">
              <w:rPr>
                <w:b/>
                <w:szCs w:val="14"/>
              </w:rPr>
              <w:t>…</w:t>
            </w:r>
          </w:p>
        </w:tc>
      </w:tr>
      <w:tr w:rsidR="00B07015" w:rsidRPr="001437F0" w:rsidTr="001A335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after="60" w:line="210" w:lineRule="exact"/>
              <w:ind w:firstLine="0"/>
              <w:rPr>
                <w:szCs w:val="14"/>
              </w:rPr>
            </w:pPr>
            <w:r w:rsidRPr="001437F0">
              <w:rPr>
                <w:b/>
                <w:szCs w:val="14"/>
              </w:rPr>
              <w:t>SU SALDO REPRESENTA</w:t>
            </w:r>
          </w:p>
          <w:p w:rsidR="00B07015" w:rsidRPr="001437F0" w:rsidRDefault="00B07015" w:rsidP="001A3359">
            <w:pPr>
              <w:pStyle w:val="Texto"/>
              <w:spacing w:after="60" w:line="210" w:lineRule="exact"/>
              <w:ind w:firstLine="0"/>
              <w:rPr>
                <w:szCs w:val="14"/>
              </w:rPr>
            </w:pPr>
            <w:r w:rsidRPr="001437F0">
              <w:rPr>
                <w:b/>
                <w:szCs w:val="14"/>
              </w:rPr>
              <w:t>…</w:t>
            </w:r>
          </w:p>
        </w:tc>
      </w:tr>
      <w:tr w:rsidR="00B07015" w:rsidRPr="001437F0" w:rsidTr="001A3359">
        <w:trPr>
          <w:trHeight w:val="20"/>
        </w:trPr>
        <w:tc>
          <w:tcPr>
            <w:tcW w:w="8712" w:type="dxa"/>
            <w:gridSpan w:val="4"/>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18" w:lineRule="exact"/>
              <w:ind w:firstLine="0"/>
              <w:rPr>
                <w:b/>
                <w:szCs w:val="14"/>
              </w:rPr>
            </w:pPr>
            <w:r w:rsidRPr="001437F0">
              <w:rPr>
                <w:b/>
                <w:szCs w:val="14"/>
              </w:rPr>
              <w:t>OBSERVACIONES</w:t>
            </w:r>
          </w:p>
          <w:p w:rsidR="00B07015" w:rsidRPr="001437F0" w:rsidRDefault="00B07015" w:rsidP="001A3359">
            <w:pPr>
              <w:pStyle w:val="Texto"/>
              <w:spacing w:line="218" w:lineRule="exact"/>
              <w:ind w:firstLine="0"/>
              <w:rPr>
                <w:szCs w:val="14"/>
              </w:rPr>
            </w:pPr>
            <w:r w:rsidRPr="001437F0">
              <w:rPr>
                <w:szCs w:val="14"/>
              </w:rPr>
              <w:t>Se llevará auxiliar por beneficiario, de conformidad con el concepto 4600 del Clasificador por Objeto del Gasto, partidas 461 a 463 y 469.</w:t>
            </w:r>
          </w:p>
        </w:tc>
      </w:tr>
    </w:tbl>
    <w:p w:rsidR="00B07015" w:rsidRPr="001437F0" w:rsidRDefault="00B07015" w:rsidP="00B07015">
      <w:pPr>
        <w:pStyle w:val="Texto"/>
        <w:spacing w:after="60" w:line="210" w:lineRule="exact"/>
        <w:rPr>
          <w:b/>
          <w:szCs w:val="14"/>
        </w:rPr>
      </w:pPr>
      <w:r w:rsidRPr="001437F0">
        <w:rPr>
          <w:b/>
          <w:szCs w:val="14"/>
        </w:rPr>
        <w:t>…</w:t>
      </w:r>
    </w:p>
    <w:p w:rsidR="00B07015" w:rsidRPr="001437F0" w:rsidRDefault="00B07015" w:rsidP="00B07015">
      <w:pPr>
        <w:pStyle w:val="Texto"/>
        <w:spacing w:line="272" w:lineRule="exact"/>
        <w:ind w:firstLine="0"/>
        <w:jc w:val="center"/>
        <w:rPr>
          <w:b/>
          <w:smallCaps/>
        </w:rPr>
      </w:pPr>
      <w:r w:rsidRPr="001437F0">
        <w:rPr>
          <w:b/>
          <w:smallCaps/>
        </w:rPr>
        <w:t>Capítulo V</w:t>
      </w:r>
    </w:p>
    <w:p w:rsidR="00B07015" w:rsidRPr="001437F0" w:rsidRDefault="00B07015" w:rsidP="00B07015">
      <w:pPr>
        <w:pStyle w:val="Texto"/>
        <w:spacing w:line="272" w:lineRule="exact"/>
        <w:ind w:firstLine="0"/>
        <w:jc w:val="center"/>
        <w:rPr>
          <w:b/>
          <w:smallCaps/>
        </w:rPr>
      </w:pPr>
      <w:r w:rsidRPr="001437F0">
        <w:rPr>
          <w:b/>
          <w:smallCaps/>
        </w:rPr>
        <w:t>Modelo de Asientos para el Registro Contable</w:t>
      </w:r>
    </w:p>
    <w:p w:rsidR="00B07015" w:rsidRPr="001437F0" w:rsidRDefault="00B07015" w:rsidP="00B07015">
      <w:pPr>
        <w:pStyle w:val="Texto"/>
        <w:spacing w:line="272" w:lineRule="exact"/>
        <w:rPr>
          <w:b/>
        </w:rPr>
      </w:pPr>
      <w:r w:rsidRPr="001437F0">
        <w:rPr>
          <w:b/>
        </w:rPr>
        <w:t>…</w:t>
      </w:r>
    </w:p>
    <w:p w:rsidR="00B07015" w:rsidRPr="001437F0" w:rsidRDefault="00B07015" w:rsidP="00B07015">
      <w:pPr>
        <w:pStyle w:val="Texto"/>
        <w:spacing w:line="272" w:lineRule="exact"/>
        <w:rPr>
          <w:b/>
        </w:rPr>
      </w:pPr>
      <w:r w:rsidRPr="001437F0">
        <w:rPr>
          <w:b/>
        </w:rPr>
        <w:t>I</w:t>
      </w:r>
      <w:r w:rsidRPr="001437F0">
        <w:rPr>
          <w:b/>
        </w:rPr>
        <w:tab/>
        <w:t>ASIENTO DE APERTURA</w:t>
      </w:r>
    </w:p>
    <w:p w:rsidR="00B07015" w:rsidRPr="001437F0" w:rsidRDefault="00B07015" w:rsidP="00B07015">
      <w:pPr>
        <w:pStyle w:val="Texto"/>
        <w:spacing w:line="272" w:lineRule="exact"/>
      </w:pPr>
      <w:r w:rsidRPr="001437F0">
        <w:t>Documento Fuente del Asiento: Auxiliar contable del ejercicio inmediato anterior.</w:t>
      </w:r>
    </w:p>
    <w:tbl>
      <w:tblPr>
        <w:tblW w:w="8712" w:type="dxa"/>
        <w:tblInd w:w="144" w:type="dxa"/>
        <w:tblLayout w:type="fixed"/>
        <w:tblCellMar>
          <w:left w:w="70" w:type="dxa"/>
          <w:right w:w="70" w:type="dxa"/>
        </w:tblCellMar>
        <w:tblLook w:val="0000" w:firstRow="0" w:lastRow="0" w:firstColumn="0" w:lastColumn="0" w:noHBand="0" w:noVBand="0"/>
      </w:tblPr>
      <w:tblGrid>
        <w:gridCol w:w="934"/>
        <w:gridCol w:w="3711"/>
        <w:gridCol w:w="718"/>
        <w:gridCol w:w="3349"/>
      </w:tblGrid>
      <w:tr w:rsidR="00B07015" w:rsidRPr="001437F0" w:rsidTr="001A3359">
        <w:trPr>
          <w:trHeight w:val="20"/>
        </w:trPr>
        <w:tc>
          <w:tcPr>
            <w:tcW w:w="4645" w:type="dxa"/>
            <w:gridSpan w:val="2"/>
            <w:tcBorders>
              <w:top w:val="single" w:sz="6" w:space="0" w:color="auto"/>
              <w:left w:val="single" w:sz="6" w:space="0" w:color="auto"/>
              <w:bottom w:val="single" w:sz="6" w:space="0" w:color="auto"/>
              <w:right w:val="single" w:sz="6" w:space="0" w:color="auto"/>
            </w:tcBorders>
            <w:shd w:val="clear" w:color="auto" w:fill="C0C0C0"/>
          </w:tcPr>
          <w:p w:rsidR="00B07015" w:rsidRPr="001437F0" w:rsidRDefault="00B07015" w:rsidP="001A3359">
            <w:pPr>
              <w:pStyle w:val="Texto"/>
              <w:spacing w:line="272" w:lineRule="exact"/>
              <w:ind w:firstLine="0"/>
              <w:jc w:val="center"/>
              <w:rPr>
                <w:b/>
                <w:szCs w:val="16"/>
              </w:rPr>
            </w:pPr>
            <w:r w:rsidRPr="001437F0">
              <w:rPr>
                <w:b/>
                <w:szCs w:val="16"/>
              </w:rPr>
              <w:t>Cargo</w:t>
            </w:r>
          </w:p>
        </w:tc>
        <w:tc>
          <w:tcPr>
            <w:tcW w:w="4067" w:type="dxa"/>
            <w:gridSpan w:val="2"/>
            <w:tcBorders>
              <w:top w:val="single" w:sz="6" w:space="0" w:color="auto"/>
              <w:left w:val="single" w:sz="6" w:space="0" w:color="auto"/>
              <w:bottom w:val="single" w:sz="6" w:space="0" w:color="auto"/>
              <w:right w:val="single" w:sz="6" w:space="0" w:color="auto"/>
            </w:tcBorders>
            <w:shd w:val="clear" w:color="auto" w:fill="C0C0C0"/>
          </w:tcPr>
          <w:p w:rsidR="00B07015" w:rsidRPr="001437F0" w:rsidRDefault="00B07015" w:rsidP="001A3359">
            <w:pPr>
              <w:pStyle w:val="Texto"/>
              <w:spacing w:line="272" w:lineRule="exact"/>
              <w:ind w:firstLine="0"/>
              <w:jc w:val="center"/>
              <w:rPr>
                <w:b/>
                <w:szCs w:val="16"/>
              </w:rPr>
            </w:pPr>
            <w:r w:rsidRPr="001437F0">
              <w:rPr>
                <w:b/>
                <w:szCs w:val="16"/>
              </w:rPr>
              <w:t>Abono</w:t>
            </w:r>
          </w:p>
        </w:tc>
      </w:tr>
      <w:tr w:rsidR="00B07015" w:rsidRPr="001437F0" w:rsidTr="001A3359">
        <w:trPr>
          <w:trHeight w:val="20"/>
        </w:trPr>
        <w:tc>
          <w:tcPr>
            <w:tcW w:w="93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r w:rsidRPr="001437F0">
              <w:rPr>
                <w:b/>
                <w:szCs w:val="16"/>
              </w:rPr>
              <w:t>…</w:t>
            </w:r>
          </w:p>
          <w:p w:rsidR="00B07015" w:rsidRPr="001437F0" w:rsidRDefault="00B07015" w:rsidP="001A3359">
            <w:pPr>
              <w:pStyle w:val="Texto"/>
              <w:spacing w:line="272" w:lineRule="exact"/>
              <w:ind w:firstLine="0"/>
              <w:rPr>
                <w:szCs w:val="16"/>
              </w:rPr>
            </w:pPr>
            <w:r w:rsidRPr="001437F0">
              <w:rPr>
                <w:szCs w:val="16"/>
              </w:rPr>
              <w:lastRenderedPageBreak/>
              <w:t>1.2.1.3.9</w:t>
            </w:r>
          </w:p>
          <w:p w:rsidR="00B07015" w:rsidRPr="001437F0" w:rsidRDefault="00B07015" w:rsidP="001A3359">
            <w:pPr>
              <w:pStyle w:val="Texto"/>
              <w:spacing w:line="272" w:lineRule="exact"/>
              <w:ind w:firstLine="0"/>
              <w:rPr>
                <w:szCs w:val="16"/>
              </w:rPr>
            </w:pPr>
            <w:r w:rsidRPr="001437F0">
              <w:rPr>
                <w:b/>
                <w:szCs w:val="16"/>
              </w:rPr>
              <w:t>…</w:t>
            </w:r>
          </w:p>
        </w:tc>
        <w:tc>
          <w:tcPr>
            <w:tcW w:w="3711"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r w:rsidRPr="001437F0">
              <w:rPr>
                <w:b/>
                <w:szCs w:val="16"/>
              </w:rPr>
              <w:lastRenderedPageBreak/>
              <w:t>…</w:t>
            </w:r>
          </w:p>
          <w:p w:rsidR="00B07015" w:rsidRPr="001437F0" w:rsidRDefault="00B07015" w:rsidP="001A3359">
            <w:pPr>
              <w:pStyle w:val="Texto"/>
              <w:spacing w:line="272" w:lineRule="exact"/>
              <w:ind w:firstLine="0"/>
              <w:rPr>
                <w:szCs w:val="16"/>
              </w:rPr>
            </w:pPr>
            <w:r w:rsidRPr="001437F0">
              <w:rPr>
                <w:szCs w:val="16"/>
              </w:rPr>
              <w:t xml:space="preserve">Otros Fideicomisos, Mandatos y Contratos </w:t>
            </w:r>
            <w:r w:rsidRPr="001437F0">
              <w:rPr>
                <w:szCs w:val="16"/>
              </w:rPr>
              <w:lastRenderedPageBreak/>
              <w:t>Análogos</w:t>
            </w:r>
          </w:p>
          <w:p w:rsidR="00B07015" w:rsidRPr="001437F0" w:rsidRDefault="00B07015" w:rsidP="001A3359">
            <w:pPr>
              <w:pStyle w:val="Texto"/>
              <w:spacing w:line="272" w:lineRule="exact"/>
              <w:ind w:firstLine="0"/>
              <w:rPr>
                <w:szCs w:val="16"/>
              </w:rPr>
            </w:pPr>
            <w:r w:rsidRPr="001437F0">
              <w:rPr>
                <w:b/>
                <w:szCs w:val="16"/>
              </w:rPr>
              <w:t>…</w:t>
            </w:r>
          </w:p>
        </w:tc>
        <w:tc>
          <w:tcPr>
            <w:tcW w:w="718"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c>
          <w:tcPr>
            <w:tcW w:w="3349"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r>
    </w:tbl>
    <w:p w:rsidR="00B07015" w:rsidRPr="001437F0" w:rsidRDefault="00B07015" w:rsidP="00B07015">
      <w:pPr>
        <w:pStyle w:val="Texto"/>
        <w:spacing w:line="272" w:lineRule="exact"/>
        <w:rPr>
          <w:b/>
          <w:smallCaps/>
        </w:rPr>
      </w:pPr>
    </w:p>
    <w:p w:rsidR="00B07015" w:rsidRPr="001437F0" w:rsidRDefault="00B07015" w:rsidP="00B07015">
      <w:pPr>
        <w:pStyle w:val="Texto"/>
        <w:spacing w:line="272" w:lineRule="exact"/>
      </w:pPr>
      <w:r w:rsidRPr="001437F0">
        <w:rPr>
          <w:b/>
        </w:rPr>
        <w:t>…</w:t>
      </w:r>
    </w:p>
    <w:p w:rsidR="00B07015" w:rsidRPr="001437F0" w:rsidRDefault="00B07015" w:rsidP="00B07015">
      <w:pPr>
        <w:pStyle w:val="Texto"/>
        <w:spacing w:line="272" w:lineRule="exact"/>
        <w:rPr>
          <w:b/>
        </w:rPr>
      </w:pPr>
      <w:r w:rsidRPr="001437F0">
        <w:rPr>
          <w:b/>
        </w:rPr>
        <w:t>VI.4 Inversiones Financieras</w:t>
      </w:r>
    </w:p>
    <w:p w:rsidR="00B07015" w:rsidRPr="001437F0" w:rsidRDefault="00B07015" w:rsidP="00B07015">
      <w:pPr>
        <w:pStyle w:val="Texto"/>
        <w:spacing w:line="272" w:lineRule="exact"/>
      </w:pPr>
      <w:r w:rsidRPr="001437F0">
        <w:t>VI.4.1.1 Registro del devengado y pago de fideicomisos, mandatos y contratos análogos.</w:t>
      </w:r>
    </w:p>
    <w:p w:rsidR="00B07015" w:rsidRPr="001437F0" w:rsidRDefault="00B07015" w:rsidP="00B07015">
      <w:pPr>
        <w:pStyle w:val="Texto"/>
        <w:spacing w:line="272" w:lineRule="exact"/>
      </w:pPr>
      <w:r w:rsidRPr="001437F0">
        <w:t>Documento Fuente del Asiento: Estado de cuenta del fiduciario.</w:t>
      </w:r>
    </w:p>
    <w:tbl>
      <w:tblPr>
        <w:tblW w:w="8712" w:type="dxa"/>
        <w:tblInd w:w="144" w:type="dxa"/>
        <w:tblLayout w:type="fixed"/>
        <w:tblCellMar>
          <w:left w:w="70" w:type="dxa"/>
          <w:right w:w="70" w:type="dxa"/>
        </w:tblCellMar>
        <w:tblLook w:val="0000" w:firstRow="0" w:lastRow="0" w:firstColumn="0" w:lastColumn="0" w:noHBand="0" w:noVBand="0"/>
      </w:tblPr>
      <w:tblGrid>
        <w:gridCol w:w="1006"/>
        <w:gridCol w:w="3740"/>
        <w:gridCol w:w="992"/>
        <w:gridCol w:w="2974"/>
      </w:tblGrid>
      <w:tr w:rsidR="00B07015" w:rsidRPr="001437F0" w:rsidTr="001A3359">
        <w:trPr>
          <w:trHeight w:val="20"/>
        </w:trPr>
        <w:tc>
          <w:tcPr>
            <w:tcW w:w="4746" w:type="dxa"/>
            <w:gridSpan w:val="2"/>
            <w:tcBorders>
              <w:top w:val="single" w:sz="6" w:space="0" w:color="auto"/>
              <w:left w:val="single" w:sz="6" w:space="0" w:color="auto"/>
              <w:bottom w:val="single" w:sz="6" w:space="0" w:color="auto"/>
              <w:right w:val="single" w:sz="6" w:space="0" w:color="auto"/>
            </w:tcBorders>
            <w:shd w:val="clear" w:color="auto" w:fill="C0C0C0"/>
          </w:tcPr>
          <w:p w:rsidR="00B07015" w:rsidRPr="001437F0" w:rsidRDefault="00B07015" w:rsidP="001A3359">
            <w:pPr>
              <w:pStyle w:val="Texto"/>
              <w:spacing w:line="272" w:lineRule="exact"/>
              <w:ind w:firstLine="0"/>
              <w:jc w:val="center"/>
              <w:rPr>
                <w:b/>
                <w:szCs w:val="16"/>
              </w:rPr>
            </w:pPr>
            <w:r w:rsidRPr="001437F0">
              <w:rPr>
                <w:b/>
                <w:szCs w:val="16"/>
              </w:rPr>
              <w:t>Cargo</w:t>
            </w:r>
          </w:p>
        </w:tc>
        <w:tc>
          <w:tcPr>
            <w:tcW w:w="3966" w:type="dxa"/>
            <w:gridSpan w:val="2"/>
            <w:tcBorders>
              <w:top w:val="single" w:sz="6" w:space="0" w:color="auto"/>
              <w:left w:val="single" w:sz="6" w:space="0" w:color="auto"/>
              <w:bottom w:val="single" w:sz="6" w:space="0" w:color="auto"/>
              <w:right w:val="single" w:sz="6" w:space="0" w:color="auto"/>
            </w:tcBorders>
            <w:shd w:val="clear" w:color="auto" w:fill="C0C0C0"/>
          </w:tcPr>
          <w:p w:rsidR="00B07015" w:rsidRPr="001437F0" w:rsidRDefault="00B07015" w:rsidP="001A3359">
            <w:pPr>
              <w:pStyle w:val="Texto"/>
              <w:spacing w:line="272" w:lineRule="exact"/>
              <w:ind w:firstLine="0"/>
              <w:jc w:val="center"/>
              <w:rPr>
                <w:b/>
                <w:szCs w:val="16"/>
              </w:rPr>
            </w:pPr>
            <w:r w:rsidRPr="001437F0">
              <w:rPr>
                <w:b/>
                <w:szCs w:val="16"/>
              </w:rPr>
              <w:t>Abono</w:t>
            </w:r>
          </w:p>
        </w:tc>
      </w:tr>
      <w:tr w:rsidR="00B07015" w:rsidRPr="001437F0" w:rsidTr="001A3359">
        <w:trPr>
          <w:trHeight w:val="20"/>
        </w:trPr>
        <w:tc>
          <w:tcPr>
            <w:tcW w:w="1006"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r w:rsidRPr="001437F0">
              <w:rPr>
                <w:b/>
                <w:szCs w:val="16"/>
              </w:rPr>
              <w:t>…</w:t>
            </w:r>
          </w:p>
        </w:tc>
        <w:tc>
          <w:tcPr>
            <w:tcW w:w="374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c>
          <w:tcPr>
            <w:tcW w:w="992"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c>
          <w:tcPr>
            <w:tcW w:w="297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r>
      <w:tr w:rsidR="00B07015" w:rsidRPr="001437F0" w:rsidTr="001A3359">
        <w:trPr>
          <w:trHeight w:val="20"/>
        </w:trPr>
        <w:tc>
          <w:tcPr>
            <w:tcW w:w="1006"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r w:rsidRPr="001437F0">
              <w:rPr>
                <w:szCs w:val="16"/>
              </w:rPr>
              <w:t>1.2.1.3.9</w:t>
            </w:r>
          </w:p>
        </w:tc>
        <w:tc>
          <w:tcPr>
            <w:tcW w:w="374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r w:rsidRPr="001437F0">
              <w:rPr>
                <w:szCs w:val="16"/>
              </w:rPr>
              <w:t>Otros Fideicomisos, Mandatos y Contratos Análogos</w:t>
            </w:r>
          </w:p>
        </w:tc>
        <w:tc>
          <w:tcPr>
            <w:tcW w:w="992"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c>
          <w:tcPr>
            <w:tcW w:w="297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Cs w:val="16"/>
              </w:rPr>
            </w:pPr>
          </w:p>
        </w:tc>
      </w:tr>
      <w:tr w:rsidR="00B07015" w:rsidRPr="001437F0" w:rsidTr="001A3359">
        <w:trPr>
          <w:trHeight w:val="20"/>
        </w:trPr>
        <w:tc>
          <w:tcPr>
            <w:tcW w:w="1006"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color w:val="000000"/>
                <w:szCs w:val="16"/>
              </w:rPr>
            </w:pPr>
            <w:r w:rsidRPr="001437F0">
              <w:rPr>
                <w:b/>
                <w:color w:val="000000"/>
                <w:szCs w:val="16"/>
              </w:rPr>
              <w:t>…</w:t>
            </w:r>
          </w:p>
        </w:tc>
        <w:tc>
          <w:tcPr>
            <w:tcW w:w="3740"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color w:val="000000"/>
                <w:szCs w:val="16"/>
              </w:rPr>
            </w:pPr>
          </w:p>
        </w:tc>
        <w:tc>
          <w:tcPr>
            <w:tcW w:w="992"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color w:val="000000"/>
                <w:szCs w:val="16"/>
              </w:rPr>
            </w:pPr>
          </w:p>
        </w:tc>
        <w:tc>
          <w:tcPr>
            <w:tcW w:w="2974" w:type="dxa"/>
            <w:tcBorders>
              <w:top w:val="single" w:sz="6" w:space="0" w:color="auto"/>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color w:val="000000"/>
                <w:szCs w:val="16"/>
              </w:rPr>
            </w:pPr>
          </w:p>
        </w:tc>
      </w:tr>
    </w:tbl>
    <w:p w:rsidR="00B07015" w:rsidRPr="001437F0" w:rsidRDefault="00B07015" w:rsidP="00B07015">
      <w:pPr>
        <w:pStyle w:val="Texto"/>
        <w:spacing w:line="272" w:lineRule="exact"/>
        <w:rPr>
          <w:b/>
          <w:smallCaps/>
        </w:rPr>
      </w:pPr>
      <w:r w:rsidRPr="001437F0">
        <w:rPr>
          <w:b/>
          <w:smallCaps/>
        </w:rPr>
        <w:t>…</w:t>
      </w:r>
    </w:p>
    <w:p w:rsidR="00B07015" w:rsidRPr="001437F0" w:rsidRDefault="00B07015" w:rsidP="00B07015">
      <w:pPr>
        <w:pStyle w:val="Texto"/>
        <w:spacing w:line="272" w:lineRule="exact"/>
        <w:ind w:firstLine="0"/>
        <w:jc w:val="center"/>
        <w:rPr>
          <w:b/>
          <w:smallCaps/>
        </w:rPr>
      </w:pPr>
      <w:r w:rsidRPr="001437F0">
        <w:rPr>
          <w:b/>
          <w:smallCaps/>
        </w:rPr>
        <w:t>Capítulo VI Guías Contabilizadoras</w:t>
      </w:r>
    </w:p>
    <w:p w:rsidR="00B07015" w:rsidRPr="001437F0" w:rsidRDefault="00B07015" w:rsidP="00B07015">
      <w:pPr>
        <w:pStyle w:val="Texto"/>
        <w:spacing w:line="272" w:lineRule="exact"/>
        <w:rPr>
          <w:b/>
          <w:smallCaps/>
        </w:rPr>
      </w:pPr>
      <w:r w:rsidRPr="001437F0">
        <w:rPr>
          <w:b/>
          <w:smallCaps/>
        </w:rPr>
        <w:t>…</w:t>
      </w: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B07015" w:rsidRPr="001437F0" w:rsidTr="001A3359">
        <w:trPr>
          <w:trHeight w:val="20"/>
        </w:trPr>
        <w:tc>
          <w:tcPr>
            <w:tcW w:w="871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mallCaps/>
              </w:rPr>
            </w:pPr>
            <w:r w:rsidRPr="001437F0">
              <w:rPr>
                <w:b/>
                <w:smallCaps/>
              </w:rPr>
              <w:t>VI.5 Inversiones Financieras</w:t>
            </w:r>
          </w:p>
        </w:tc>
      </w:tr>
    </w:tbl>
    <w:p w:rsidR="00B07015" w:rsidRPr="001437F0" w:rsidRDefault="00B07015" w:rsidP="00B07015">
      <w:pPr>
        <w:pStyle w:val="Texto"/>
        <w:spacing w:line="272" w:lineRule="exact"/>
        <w:rPr>
          <w:szCs w:val="12"/>
        </w:rPr>
      </w:pPr>
    </w:p>
    <w:tbl>
      <w:tblPr>
        <w:tblW w:w="8712" w:type="dxa"/>
        <w:tblInd w:w="144" w:type="dxa"/>
        <w:tblLayout w:type="fixed"/>
        <w:tblCellMar>
          <w:left w:w="72" w:type="dxa"/>
          <w:right w:w="72" w:type="dxa"/>
        </w:tblCellMar>
        <w:tblLook w:val="0000" w:firstRow="0" w:lastRow="0" w:firstColumn="0" w:lastColumn="0" w:noHBand="0" w:noVBand="0"/>
      </w:tblPr>
      <w:tblGrid>
        <w:gridCol w:w="468"/>
        <w:gridCol w:w="2250"/>
        <w:gridCol w:w="1350"/>
        <w:gridCol w:w="990"/>
        <w:gridCol w:w="1098"/>
        <w:gridCol w:w="768"/>
        <w:gridCol w:w="894"/>
        <w:gridCol w:w="894"/>
      </w:tblGrid>
      <w:tr w:rsidR="00B07015" w:rsidRPr="001437F0" w:rsidTr="001A3359">
        <w:trPr>
          <w:trHeight w:val="20"/>
        </w:trPr>
        <w:tc>
          <w:tcPr>
            <w:tcW w:w="468" w:type="dxa"/>
            <w:vMerge w:val="restart"/>
            <w:tcBorders>
              <w:top w:val="single" w:sz="6" w:space="0" w:color="auto"/>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No.</w:t>
            </w:r>
          </w:p>
        </w:tc>
        <w:tc>
          <w:tcPr>
            <w:tcW w:w="2250" w:type="dxa"/>
            <w:vMerge w:val="restart"/>
            <w:tcBorders>
              <w:top w:val="single" w:sz="6" w:space="0" w:color="auto"/>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CONCEPTO</w:t>
            </w:r>
          </w:p>
        </w:tc>
        <w:tc>
          <w:tcPr>
            <w:tcW w:w="1350" w:type="dxa"/>
            <w:vMerge w:val="restart"/>
            <w:tcBorders>
              <w:top w:val="single" w:sz="6" w:space="0" w:color="auto"/>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DOCUMENTO FUENTE</w:t>
            </w:r>
          </w:p>
        </w:tc>
        <w:tc>
          <w:tcPr>
            <w:tcW w:w="990" w:type="dxa"/>
            <w:vMerge w:val="restart"/>
            <w:tcBorders>
              <w:top w:val="single" w:sz="6" w:space="0" w:color="auto"/>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PERIODI-CIDAD</w:t>
            </w:r>
          </w:p>
        </w:tc>
        <w:tc>
          <w:tcPr>
            <w:tcW w:w="3654" w:type="dxa"/>
            <w:gridSpan w:val="4"/>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REGISTRO</w:t>
            </w:r>
          </w:p>
        </w:tc>
      </w:tr>
      <w:tr w:rsidR="00B07015" w:rsidRPr="001437F0" w:rsidTr="001A3359">
        <w:trPr>
          <w:trHeight w:val="20"/>
        </w:trPr>
        <w:tc>
          <w:tcPr>
            <w:tcW w:w="468" w:type="dxa"/>
            <w:vMerge/>
            <w:tcBorders>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2250" w:type="dxa"/>
            <w:vMerge/>
            <w:tcBorders>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1350" w:type="dxa"/>
            <w:vMerge/>
            <w:tcBorders>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990" w:type="dxa"/>
            <w:vMerge/>
            <w:tcBorders>
              <w:left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1866" w:type="dxa"/>
            <w:gridSpan w:val="2"/>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CONTABLE</w:t>
            </w:r>
          </w:p>
        </w:tc>
        <w:tc>
          <w:tcPr>
            <w:tcW w:w="1788" w:type="dxa"/>
            <w:gridSpan w:val="2"/>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PRESUPUESTAL</w:t>
            </w:r>
          </w:p>
        </w:tc>
      </w:tr>
      <w:tr w:rsidR="00B07015" w:rsidRPr="001437F0" w:rsidTr="001A3359">
        <w:trPr>
          <w:trHeight w:val="20"/>
        </w:trPr>
        <w:tc>
          <w:tcPr>
            <w:tcW w:w="468" w:type="dxa"/>
            <w:vMerge/>
            <w:tcBorders>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2250" w:type="dxa"/>
            <w:vMerge/>
            <w:tcBorders>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1350" w:type="dxa"/>
            <w:vMerge/>
            <w:tcBorders>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990" w:type="dxa"/>
            <w:vMerge/>
            <w:tcBorders>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p>
        </w:tc>
        <w:tc>
          <w:tcPr>
            <w:tcW w:w="109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CARGO</w:t>
            </w:r>
          </w:p>
        </w:tc>
        <w:tc>
          <w:tcPr>
            <w:tcW w:w="76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ABONO</w:t>
            </w:r>
          </w:p>
        </w:tc>
        <w:tc>
          <w:tcPr>
            <w:tcW w:w="89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CARGO</w:t>
            </w:r>
          </w:p>
        </w:tc>
        <w:tc>
          <w:tcPr>
            <w:tcW w:w="89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line="272" w:lineRule="exact"/>
              <w:ind w:firstLine="0"/>
              <w:jc w:val="center"/>
              <w:rPr>
                <w:b/>
                <w:sz w:val="16"/>
                <w:szCs w:val="12"/>
              </w:rPr>
            </w:pPr>
            <w:r w:rsidRPr="001437F0">
              <w:rPr>
                <w:b/>
                <w:sz w:val="16"/>
                <w:szCs w:val="12"/>
              </w:rPr>
              <w:t>ABONO</w:t>
            </w:r>
          </w:p>
        </w:tc>
      </w:tr>
      <w:tr w:rsidR="00B07015" w:rsidRPr="001437F0" w:rsidTr="001A3359">
        <w:trPr>
          <w:trHeight w:val="20"/>
        </w:trPr>
        <w:tc>
          <w:tcPr>
            <w:tcW w:w="468"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jc w:val="center"/>
              <w:rPr>
                <w:sz w:val="16"/>
                <w:szCs w:val="12"/>
              </w:rPr>
            </w:pPr>
            <w:r w:rsidRPr="001437F0">
              <w:rPr>
                <w:sz w:val="16"/>
                <w:szCs w:val="12"/>
              </w:rPr>
              <w:t>1</w:t>
            </w:r>
          </w:p>
        </w:tc>
        <w:tc>
          <w:tcPr>
            <w:tcW w:w="2250"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r w:rsidRPr="001437F0">
              <w:rPr>
                <w:b/>
                <w:sz w:val="16"/>
                <w:szCs w:val="12"/>
              </w:rPr>
              <w:t>…</w:t>
            </w:r>
          </w:p>
        </w:tc>
        <w:tc>
          <w:tcPr>
            <w:tcW w:w="1350"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990"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1098"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768"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894"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894" w:type="dxa"/>
            <w:tcBorders>
              <w:top w:val="single" w:sz="6" w:space="0" w:color="auto"/>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r>
      <w:tr w:rsidR="00B07015" w:rsidRPr="001437F0" w:rsidTr="001A3359">
        <w:trPr>
          <w:trHeight w:val="20"/>
        </w:trPr>
        <w:tc>
          <w:tcPr>
            <w:tcW w:w="468"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2250"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1350"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990"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1098" w:type="dxa"/>
            <w:tcBorders>
              <w:left w:val="single" w:sz="6" w:space="0" w:color="auto"/>
              <w:right w:val="single" w:sz="6" w:space="0" w:color="auto"/>
            </w:tcBorders>
          </w:tcPr>
          <w:p w:rsidR="00B07015" w:rsidRPr="001437F0" w:rsidRDefault="00B07015" w:rsidP="001A3359">
            <w:pPr>
              <w:pStyle w:val="Texto"/>
              <w:spacing w:line="272" w:lineRule="exact"/>
              <w:ind w:firstLine="0"/>
              <w:jc w:val="center"/>
              <w:rPr>
                <w:sz w:val="16"/>
                <w:szCs w:val="12"/>
              </w:rPr>
            </w:pPr>
            <w:r w:rsidRPr="001437F0">
              <w:rPr>
                <w:sz w:val="16"/>
                <w:szCs w:val="12"/>
              </w:rPr>
              <w:t xml:space="preserve">1.2.1.3.9 Otros </w:t>
            </w:r>
            <w:r w:rsidRPr="001437F0">
              <w:rPr>
                <w:spacing w:val="-5"/>
                <w:sz w:val="16"/>
                <w:szCs w:val="12"/>
              </w:rPr>
              <w:t>Fideicomisos,</w:t>
            </w:r>
            <w:r w:rsidRPr="001437F0">
              <w:rPr>
                <w:sz w:val="16"/>
                <w:szCs w:val="12"/>
              </w:rPr>
              <w:t xml:space="preserve"> Mandatos y Contratos Análogos</w:t>
            </w:r>
          </w:p>
        </w:tc>
        <w:tc>
          <w:tcPr>
            <w:tcW w:w="768"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894"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894" w:type="dxa"/>
            <w:tcBorders>
              <w:left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r>
      <w:tr w:rsidR="00B07015" w:rsidRPr="001437F0" w:rsidTr="001A3359">
        <w:trPr>
          <w:trHeight w:val="20"/>
        </w:trPr>
        <w:tc>
          <w:tcPr>
            <w:tcW w:w="468"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2250"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r w:rsidRPr="001437F0">
              <w:rPr>
                <w:b/>
                <w:sz w:val="16"/>
                <w:szCs w:val="12"/>
              </w:rPr>
              <w:t>…</w:t>
            </w:r>
            <w:r w:rsidRPr="001437F0">
              <w:rPr>
                <w:sz w:val="16"/>
                <w:szCs w:val="12"/>
              </w:rPr>
              <w:t>.</w:t>
            </w:r>
          </w:p>
        </w:tc>
        <w:tc>
          <w:tcPr>
            <w:tcW w:w="1350"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990"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1098"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768"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894"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c>
          <w:tcPr>
            <w:tcW w:w="894" w:type="dxa"/>
            <w:tcBorders>
              <w:left w:val="single" w:sz="6" w:space="0" w:color="auto"/>
              <w:bottom w:val="single" w:sz="6" w:space="0" w:color="auto"/>
              <w:right w:val="single" w:sz="6" w:space="0" w:color="auto"/>
            </w:tcBorders>
          </w:tcPr>
          <w:p w:rsidR="00B07015" w:rsidRPr="001437F0" w:rsidRDefault="00B07015" w:rsidP="001A3359">
            <w:pPr>
              <w:pStyle w:val="Texto"/>
              <w:spacing w:line="272" w:lineRule="exact"/>
              <w:ind w:firstLine="0"/>
              <w:rPr>
                <w:sz w:val="16"/>
                <w:szCs w:val="12"/>
              </w:rPr>
            </w:pPr>
          </w:p>
        </w:tc>
      </w:tr>
    </w:tbl>
    <w:p w:rsidR="00B07015" w:rsidRPr="001437F0" w:rsidRDefault="00B07015" w:rsidP="00B07015">
      <w:pPr>
        <w:pStyle w:val="Texto"/>
      </w:pPr>
    </w:p>
    <w:p w:rsidR="00B07015" w:rsidRPr="001437F0" w:rsidRDefault="00B07015" w:rsidP="00B07015">
      <w:pPr>
        <w:pStyle w:val="Texto"/>
        <w:sectPr w:rsidR="00B07015" w:rsidRPr="001437F0" w:rsidSect="00B70364">
          <w:headerReference w:type="even" r:id="rId5"/>
          <w:headerReference w:type="default" r:id="rId6"/>
          <w:pgSz w:w="12240" w:h="15840" w:code="1"/>
          <w:pgMar w:top="1152" w:right="1699" w:bottom="1296" w:left="1699" w:header="706" w:footer="706" w:gutter="0"/>
          <w:cols w:space="708"/>
          <w:docGrid w:linePitch="360"/>
        </w:sectPr>
      </w:pPr>
    </w:p>
    <w:p w:rsidR="00B07015" w:rsidRPr="001437F0" w:rsidRDefault="00B07015" w:rsidP="00B07015">
      <w:pPr>
        <w:pStyle w:val="Texto"/>
        <w:ind w:firstLine="0"/>
        <w:jc w:val="center"/>
        <w:rPr>
          <w:b/>
          <w:smallCaps/>
        </w:rPr>
      </w:pPr>
      <w:r w:rsidRPr="001437F0">
        <w:rPr>
          <w:b/>
          <w:smallCaps/>
        </w:rPr>
        <w:lastRenderedPageBreak/>
        <w:t>ANEXO I Matrices de Conversión</w:t>
      </w:r>
    </w:p>
    <w:p w:rsidR="00B07015" w:rsidRPr="001437F0" w:rsidRDefault="00B07015" w:rsidP="00B07015">
      <w:pPr>
        <w:pStyle w:val="Texto"/>
        <w:ind w:firstLine="0"/>
        <w:jc w:val="center"/>
        <w:rPr>
          <w:b/>
          <w:lang w:val="pt-PT"/>
        </w:rPr>
      </w:pPr>
      <w:r w:rsidRPr="001437F0">
        <w:rPr>
          <w:b/>
        </w:rPr>
        <w:t>A.1 Matriz Devengado de Gastos</w:t>
      </w:r>
    </w:p>
    <w:tbl>
      <w:tblPr>
        <w:tblW w:w="13032" w:type="dxa"/>
        <w:tblInd w:w="144" w:type="dxa"/>
        <w:tblLayout w:type="fixed"/>
        <w:tblCellMar>
          <w:left w:w="72" w:type="dxa"/>
          <w:right w:w="72" w:type="dxa"/>
        </w:tblCellMar>
        <w:tblLook w:val="0000" w:firstRow="0" w:lastRow="0" w:firstColumn="0" w:lastColumn="0" w:noHBand="0" w:noVBand="0"/>
      </w:tblPr>
      <w:tblGrid>
        <w:gridCol w:w="562"/>
        <w:gridCol w:w="2901"/>
        <w:gridCol w:w="689"/>
        <w:gridCol w:w="1350"/>
        <w:gridCol w:w="891"/>
        <w:gridCol w:w="3061"/>
        <w:gridCol w:w="744"/>
        <w:gridCol w:w="2834"/>
      </w:tblGrid>
      <w:tr w:rsidR="00B07015" w:rsidRPr="001437F0" w:rsidTr="001A3359">
        <w:trPr>
          <w:trHeight w:val="20"/>
        </w:trPr>
        <w:tc>
          <w:tcPr>
            <w:tcW w:w="562"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COG</w:t>
            </w:r>
          </w:p>
        </w:tc>
        <w:tc>
          <w:tcPr>
            <w:tcW w:w="2901"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Nombre del COG</w:t>
            </w:r>
          </w:p>
        </w:tc>
        <w:tc>
          <w:tcPr>
            <w:tcW w:w="689"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Tipo Gasto</w:t>
            </w:r>
          </w:p>
        </w:tc>
        <w:tc>
          <w:tcPr>
            <w:tcW w:w="1350"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Características</w:t>
            </w:r>
          </w:p>
        </w:tc>
        <w:tc>
          <w:tcPr>
            <w:tcW w:w="7530"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r w:rsidRPr="001437F0">
              <w:rPr>
                <w:b/>
                <w:color w:val="000000"/>
                <w:sz w:val="16"/>
                <w:szCs w:val="16"/>
                <w:lang w:val="es-MX"/>
              </w:rPr>
              <w:t>Cuentas Contables</w:t>
            </w:r>
          </w:p>
        </w:tc>
      </w:tr>
      <w:tr w:rsidR="00B07015" w:rsidRPr="001437F0" w:rsidTr="001A3359">
        <w:trPr>
          <w:trHeight w:val="20"/>
        </w:trPr>
        <w:tc>
          <w:tcPr>
            <w:tcW w:w="562"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p>
        </w:tc>
        <w:tc>
          <w:tcPr>
            <w:tcW w:w="2901"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p>
        </w:tc>
        <w:tc>
          <w:tcPr>
            <w:tcW w:w="689"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p>
        </w:tc>
        <w:tc>
          <w:tcPr>
            <w:tcW w:w="1350"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p>
        </w:tc>
        <w:tc>
          <w:tcPr>
            <w:tcW w:w="891"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r w:rsidRPr="001437F0">
              <w:rPr>
                <w:b/>
                <w:color w:val="000000"/>
                <w:sz w:val="16"/>
                <w:szCs w:val="16"/>
                <w:lang w:val="es-MX"/>
              </w:rPr>
              <w:t>Cargo</w:t>
            </w:r>
          </w:p>
        </w:tc>
        <w:tc>
          <w:tcPr>
            <w:tcW w:w="3061"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r w:rsidRPr="001437F0">
              <w:rPr>
                <w:b/>
                <w:color w:val="000000"/>
                <w:sz w:val="16"/>
                <w:szCs w:val="16"/>
                <w:lang w:val="es-MX"/>
              </w:rPr>
              <w:t>Cuenta Cargo</w:t>
            </w:r>
          </w:p>
        </w:tc>
        <w:tc>
          <w:tcPr>
            <w:tcW w:w="744"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r w:rsidRPr="001437F0">
              <w:rPr>
                <w:b/>
                <w:color w:val="000000"/>
                <w:sz w:val="16"/>
                <w:szCs w:val="16"/>
                <w:lang w:val="es-MX"/>
              </w:rPr>
              <w:t>Abono</w:t>
            </w:r>
          </w:p>
        </w:tc>
        <w:tc>
          <w:tcPr>
            <w:tcW w:w="2834"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color w:val="000000"/>
                <w:sz w:val="16"/>
                <w:szCs w:val="16"/>
                <w:lang w:val="es-MX"/>
              </w:rPr>
            </w:pPr>
            <w:r w:rsidRPr="001437F0">
              <w:rPr>
                <w:b/>
                <w:color w:val="000000"/>
                <w:sz w:val="16"/>
                <w:szCs w:val="16"/>
                <w:lang w:val="es-MX"/>
              </w:rPr>
              <w:t>Cuenta Abono</w:t>
            </w:r>
          </w:p>
        </w:tc>
      </w:tr>
      <w:tr w:rsidR="00B07015" w:rsidRPr="001437F0" w:rsidTr="001A3359">
        <w:trPr>
          <w:trHeight w:val="20"/>
        </w:trPr>
        <w:tc>
          <w:tcPr>
            <w:tcW w:w="56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469</w:t>
            </w:r>
          </w:p>
        </w:tc>
        <w:tc>
          <w:tcPr>
            <w:tcW w:w="290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Otras transferencias a fideicomisos</w:t>
            </w:r>
          </w:p>
        </w:tc>
        <w:tc>
          <w:tcPr>
            <w:tcW w:w="68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1</w:t>
            </w:r>
          </w:p>
        </w:tc>
        <w:tc>
          <w:tcPr>
            <w:tcW w:w="13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89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5.2.6.1</w:t>
            </w:r>
          </w:p>
        </w:tc>
        <w:tc>
          <w:tcPr>
            <w:tcW w:w="306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Transferencias a Fideicomisos, Mandatos y Contratos Análogos al Gobierno </w:t>
            </w:r>
          </w:p>
        </w:tc>
        <w:tc>
          <w:tcPr>
            <w:tcW w:w="74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2.1.1.5</w:t>
            </w:r>
          </w:p>
        </w:tc>
        <w:tc>
          <w:tcPr>
            <w:tcW w:w="283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Transferencias Otorgadas por Pagar a Corto Plazo </w:t>
            </w:r>
          </w:p>
        </w:tc>
      </w:tr>
      <w:tr w:rsidR="00B07015" w:rsidRPr="001437F0" w:rsidTr="001A3359">
        <w:trPr>
          <w:trHeight w:val="20"/>
        </w:trPr>
        <w:tc>
          <w:tcPr>
            <w:tcW w:w="562"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469</w:t>
            </w:r>
          </w:p>
        </w:tc>
        <w:tc>
          <w:tcPr>
            <w:tcW w:w="290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Otras transferencias a fideicomisos</w:t>
            </w:r>
          </w:p>
        </w:tc>
        <w:tc>
          <w:tcPr>
            <w:tcW w:w="68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1</w:t>
            </w:r>
          </w:p>
        </w:tc>
        <w:tc>
          <w:tcPr>
            <w:tcW w:w="13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89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5.2.6.2</w:t>
            </w:r>
          </w:p>
        </w:tc>
        <w:tc>
          <w:tcPr>
            <w:tcW w:w="306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Transferencias a Fideicomisos, Mandatos y Contratos Análogos a Entidades Paraestatales </w:t>
            </w:r>
          </w:p>
        </w:tc>
        <w:tc>
          <w:tcPr>
            <w:tcW w:w="74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2.1.1.5</w:t>
            </w:r>
          </w:p>
        </w:tc>
        <w:tc>
          <w:tcPr>
            <w:tcW w:w="283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Transferencias Otorgadas por Pagar a Corto Plazo </w:t>
            </w:r>
          </w:p>
        </w:tc>
      </w:tr>
    </w:tbl>
    <w:p w:rsidR="00B07015" w:rsidRPr="001437F0" w:rsidRDefault="00B07015" w:rsidP="00B07015">
      <w:pPr>
        <w:pStyle w:val="Texto"/>
        <w:rPr>
          <w:color w:val="000000"/>
          <w:szCs w:val="16"/>
          <w:lang w:val="es-MX"/>
        </w:rPr>
      </w:pPr>
      <w:r w:rsidRPr="001437F0">
        <w:rPr>
          <w:color w:val="000000"/>
          <w:szCs w:val="16"/>
          <w:lang w:val="es-MX"/>
        </w:rPr>
        <w:t>Nota. Para definir la relación de las cuentas de gasto 5.2.6.1 o 5.2.6.2 con la partida genérica del COG 469, ésta deberá ser desagregada a nivel de partida específica.</w:t>
      </w:r>
    </w:p>
    <w:tbl>
      <w:tblPr>
        <w:tblW w:w="13032" w:type="dxa"/>
        <w:tblInd w:w="144" w:type="dxa"/>
        <w:tblLayout w:type="fixed"/>
        <w:tblCellMar>
          <w:left w:w="72" w:type="dxa"/>
          <w:right w:w="72" w:type="dxa"/>
        </w:tblCellMar>
        <w:tblLook w:val="0000" w:firstRow="0" w:lastRow="0" w:firstColumn="0" w:lastColumn="0" w:noHBand="0" w:noVBand="0"/>
      </w:tblPr>
      <w:tblGrid>
        <w:gridCol w:w="562"/>
        <w:gridCol w:w="2901"/>
        <w:gridCol w:w="689"/>
        <w:gridCol w:w="1350"/>
        <w:gridCol w:w="891"/>
        <w:gridCol w:w="3061"/>
        <w:gridCol w:w="744"/>
        <w:gridCol w:w="2834"/>
      </w:tblGrid>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751</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Ejecutivo</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1.2.1.3.1</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Fideicomisos, Mandatos y Contratos Análogos del Poder Ejecutivo</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752</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Legislativo</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1.2.1.3.2</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Fideicomisos, Mandatos y Contratos Análogos del Poder Legislativo</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753</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Judicial</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1.2.1.3.3</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Fideicomisos, Mandatos y Contratos Análogos del Poder Judicial</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754</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no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1.2.1.3.4</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Fideicomisos, Mandatos y Contratos Análogos públicos no empresariales y no financieros </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755</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empresariales y no financieros</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1.2.1.3.5</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Fideicomisos, Mandatos y Contratos Análogos públicos empresariales y no financieros </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756</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financieros</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1.2.1.3.6</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Fideicomisos, Mandatos y Contratos Análogos públicos financieros </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757</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 entidades federativas</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1.2.1.3.7</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Fideicomisos, Mandatos y Contratos Análogos de Entidades Federativas </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758</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 municipios</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1.2.1.3.8</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Fideicomisos, Mandatos y Contratos Análogos de Municipios </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r w:rsidR="00B07015" w:rsidRPr="001437F0" w:rsidTr="001A3359">
        <w:trPr>
          <w:trHeight w:val="20"/>
        </w:trPr>
        <w:tc>
          <w:tcPr>
            <w:tcW w:w="566"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759</w:t>
            </w:r>
          </w:p>
        </w:tc>
        <w:tc>
          <w:tcPr>
            <w:tcW w:w="293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Otras inversiones en fideicomisos</w:t>
            </w:r>
          </w:p>
        </w:tc>
        <w:tc>
          <w:tcPr>
            <w:tcW w:w="69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65"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w:t>
            </w:r>
          </w:p>
        </w:tc>
        <w:tc>
          <w:tcPr>
            <w:tcW w:w="90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1.2.1.3.9</w:t>
            </w:r>
          </w:p>
        </w:tc>
        <w:tc>
          <w:tcPr>
            <w:tcW w:w="309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Otros Fideicomisos, Mandatos y Contratos Análogos</w:t>
            </w:r>
          </w:p>
        </w:tc>
        <w:tc>
          <w:tcPr>
            <w:tcW w:w="75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r>
    </w:tbl>
    <w:p w:rsidR="00B07015" w:rsidRPr="001437F0" w:rsidRDefault="00B07015" w:rsidP="00B07015">
      <w:pPr>
        <w:pStyle w:val="Texto"/>
        <w:spacing w:line="14" w:lineRule="exact"/>
      </w:pPr>
    </w:p>
    <w:p w:rsidR="00B07015" w:rsidRPr="001437F0" w:rsidRDefault="00B07015" w:rsidP="00B07015">
      <w:pPr>
        <w:pStyle w:val="Texto"/>
        <w:ind w:firstLine="0"/>
        <w:jc w:val="center"/>
        <w:rPr>
          <w:b/>
          <w:lang w:val="es-AR"/>
        </w:rPr>
      </w:pPr>
      <w:r w:rsidRPr="001437F0">
        <w:rPr>
          <w:b/>
          <w:lang w:val="es-AR"/>
        </w:rPr>
        <w:lastRenderedPageBreak/>
        <w:t>A.2 Matriz Pagado de Gastos</w:t>
      </w:r>
    </w:p>
    <w:tbl>
      <w:tblPr>
        <w:tblW w:w="13032" w:type="dxa"/>
        <w:tblInd w:w="144" w:type="dxa"/>
        <w:tblLayout w:type="fixed"/>
        <w:tblCellMar>
          <w:left w:w="72" w:type="dxa"/>
          <w:right w:w="72" w:type="dxa"/>
        </w:tblCellMar>
        <w:tblLook w:val="0000" w:firstRow="0" w:lastRow="0" w:firstColumn="0" w:lastColumn="0" w:noHBand="0" w:noVBand="0"/>
      </w:tblPr>
      <w:tblGrid>
        <w:gridCol w:w="550"/>
        <w:gridCol w:w="2521"/>
        <w:gridCol w:w="669"/>
        <w:gridCol w:w="1304"/>
        <w:gridCol w:w="1549"/>
        <w:gridCol w:w="867"/>
        <w:gridCol w:w="2470"/>
        <w:gridCol w:w="928"/>
        <w:gridCol w:w="2174"/>
      </w:tblGrid>
      <w:tr w:rsidR="00B07015" w:rsidRPr="001437F0" w:rsidTr="001A3359">
        <w:trPr>
          <w:trHeight w:val="20"/>
        </w:trPr>
        <w:tc>
          <w:tcPr>
            <w:tcW w:w="550"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COG</w:t>
            </w:r>
          </w:p>
        </w:tc>
        <w:tc>
          <w:tcPr>
            <w:tcW w:w="2521"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Nombre del COG</w:t>
            </w:r>
          </w:p>
        </w:tc>
        <w:tc>
          <w:tcPr>
            <w:tcW w:w="669"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Tipo Gasto</w:t>
            </w:r>
          </w:p>
        </w:tc>
        <w:tc>
          <w:tcPr>
            <w:tcW w:w="1304"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Característica</w:t>
            </w:r>
          </w:p>
        </w:tc>
        <w:tc>
          <w:tcPr>
            <w:tcW w:w="1549" w:type="dxa"/>
            <w:vMerge w:val="restart"/>
            <w:tcBorders>
              <w:top w:val="single" w:sz="6" w:space="0" w:color="auto"/>
              <w:left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Medio de pago</w:t>
            </w:r>
          </w:p>
        </w:tc>
        <w:tc>
          <w:tcPr>
            <w:tcW w:w="6439" w:type="dxa"/>
            <w:gridSpan w:val="4"/>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Cuentas Contables</w:t>
            </w:r>
          </w:p>
        </w:tc>
      </w:tr>
      <w:tr w:rsidR="00B07015" w:rsidRPr="001437F0" w:rsidTr="001A3359">
        <w:trPr>
          <w:trHeight w:val="20"/>
        </w:trPr>
        <w:tc>
          <w:tcPr>
            <w:tcW w:w="550"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p>
        </w:tc>
        <w:tc>
          <w:tcPr>
            <w:tcW w:w="2521"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p>
        </w:tc>
        <w:tc>
          <w:tcPr>
            <w:tcW w:w="669"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p>
        </w:tc>
        <w:tc>
          <w:tcPr>
            <w:tcW w:w="1304"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p>
        </w:tc>
        <w:tc>
          <w:tcPr>
            <w:tcW w:w="1549" w:type="dxa"/>
            <w:vMerge/>
            <w:tcBorders>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p>
        </w:tc>
        <w:tc>
          <w:tcPr>
            <w:tcW w:w="867"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Cargo</w:t>
            </w:r>
          </w:p>
        </w:tc>
        <w:tc>
          <w:tcPr>
            <w:tcW w:w="2470"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Cuenta Cargo</w:t>
            </w:r>
          </w:p>
        </w:tc>
        <w:tc>
          <w:tcPr>
            <w:tcW w:w="928"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Abono</w:t>
            </w:r>
          </w:p>
        </w:tc>
        <w:tc>
          <w:tcPr>
            <w:tcW w:w="2174" w:type="dxa"/>
            <w:tcBorders>
              <w:top w:val="single" w:sz="6" w:space="0" w:color="auto"/>
              <w:left w:val="single" w:sz="6" w:space="0" w:color="auto"/>
              <w:bottom w:val="single" w:sz="6" w:space="0" w:color="auto"/>
              <w:right w:val="single" w:sz="6" w:space="0" w:color="auto"/>
            </w:tcBorders>
            <w:shd w:val="clear" w:color="auto" w:fill="C0C0C0"/>
            <w:vAlign w:val="center"/>
          </w:tcPr>
          <w:p w:rsidR="00B07015" w:rsidRPr="001437F0" w:rsidRDefault="00B07015" w:rsidP="001A3359">
            <w:pPr>
              <w:pStyle w:val="Texto"/>
              <w:ind w:firstLine="0"/>
              <w:jc w:val="center"/>
              <w:rPr>
                <w:b/>
                <w:color w:val="000000"/>
                <w:sz w:val="16"/>
                <w:szCs w:val="16"/>
                <w:lang w:val="es-MX"/>
              </w:rPr>
            </w:pPr>
            <w:r w:rsidRPr="001437F0">
              <w:rPr>
                <w:b/>
                <w:color w:val="000000"/>
                <w:sz w:val="16"/>
                <w:szCs w:val="16"/>
                <w:lang w:val="es-MX"/>
              </w:rPr>
              <w:t>Cuenta Abono</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469</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Otras transferencias a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1</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Transferencias Otorgadas por Pagar a Corto Plazo </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469</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Otras transferencias a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1</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Transferencias Otorgadas por Pagar a Corto Plazo </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bl>
    <w:p w:rsidR="00B07015" w:rsidRPr="001437F0" w:rsidRDefault="00B07015" w:rsidP="00B07015">
      <w:pPr>
        <w:pStyle w:val="Texto"/>
        <w:rPr>
          <w:b/>
          <w:i/>
        </w:rPr>
      </w:pPr>
    </w:p>
    <w:tbl>
      <w:tblPr>
        <w:tblW w:w="13032" w:type="dxa"/>
        <w:tblInd w:w="144" w:type="dxa"/>
        <w:tblLayout w:type="fixed"/>
        <w:tblCellMar>
          <w:left w:w="72" w:type="dxa"/>
          <w:right w:w="72" w:type="dxa"/>
        </w:tblCellMar>
        <w:tblLook w:val="0000" w:firstRow="0" w:lastRow="0" w:firstColumn="0" w:lastColumn="0" w:noHBand="0" w:noVBand="0"/>
      </w:tblPr>
      <w:tblGrid>
        <w:gridCol w:w="550"/>
        <w:gridCol w:w="2521"/>
        <w:gridCol w:w="669"/>
        <w:gridCol w:w="1304"/>
        <w:gridCol w:w="1549"/>
        <w:gridCol w:w="867"/>
        <w:gridCol w:w="2470"/>
        <w:gridCol w:w="928"/>
        <w:gridCol w:w="2174"/>
      </w:tblGrid>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751</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Ejecutivo</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751</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Ejecutivo</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752</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Legislativo</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752</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Legislativo</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753</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Judicial</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753</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del Poder Judicial</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754</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no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754</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no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755</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bl>
    <w:p w:rsidR="00B07015" w:rsidRPr="001437F0" w:rsidRDefault="00B07015" w:rsidP="00B07015">
      <w:pPr>
        <w:rPr>
          <w:sz w:val="2"/>
        </w:rPr>
      </w:pPr>
    </w:p>
    <w:tbl>
      <w:tblPr>
        <w:tblW w:w="13032" w:type="dxa"/>
        <w:tblInd w:w="144" w:type="dxa"/>
        <w:tblLayout w:type="fixed"/>
        <w:tblCellMar>
          <w:left w:w="72" w:type="dxa"/>
          <w:right w:w="72" w:type="dxa"/>
        </w:tblCellMar>
        <w:tblLook w:val="0000" w:firstRow="0" w:lastRow="0" w:firstColumn="0" w:lastColumn="0" w:noHBand="0" w:noVBand="0"/>
      </w:tblPr>
      <w:tblGrid>
        <w:gridCol w:w="550"/>
        <w:gridCol w:w="2521"/>
        <w:gridCol w:w="669"/>
        <w:gridCol w:w="1304"/>
        <w:gridCol w:w="1549"/>
        <w:gridCol w:w="867"/>
        <w:gridCol w:w="2470"/>
        <w:gridCol w:w="928"/>
        <w:gridCol w:w="2174"/>
      </w:tblGrid>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755</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Inversiones en fideicomisos públicos empresariales y no financieros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jc w:val="center"/>
              <w:rPr>
                <w:color w:val="000000"/>
                <w:sz w:val="16"/>
                <w:szCs w:val="16"/>
                <w:lang w:val="es-MX"/>
              </w:rPr>
            </w:pPr>
            <w:r w:rsidRPr="001437F0">
              <w:rPr>
                <w:color w:val="000000"/>
                <w:sz w:val="16"/>
                <w:szCs w:val="16"/>
                <w:lang w:val="es-MX"/>
              </w:rPr>
              <w:lastRenderedPageBreak/>
              <w:t>756</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Inversiones en fideicomisos públicos financieros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jc w:val="center"/>
              <w:rPr>
                <w:color w:val="000000"/>
                <w:sz w:val="16"/>
                <w:szCs w:val="16"/>
                <w:lang w:val="es-MX"/>
              </w:rPr>
            </w:pPr>
            <w:r w:rsidRPr="001437F0">
              <w:rPr>
                <w:color w:val="000000"/>
                <w:sz w:val="16"/>
                <w:szCs w:val="16"/>
                <w:lang w:val="es-MX"/>
              </w:rPr>
              <w:t>756</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Inversiones en fideicomisos públicos financieros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757</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Inversiones en fideicomisos de entidades federativas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757</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Inversiones en fideicomisos de entidades federativas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758</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Inversiones en fideicomisos de municipios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758</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Inversiones en fideicomisos de municipios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759</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Otras inversiones en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Moned.Nac</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line="206" w:lineRule="exact"/>
              <w:ind w:firstLine="0"/>
              <w:rPr>
                <w:sz w:val="16"/>
                <w:szCs w:val="16"/>
                <w:lang w:val="es-MX"/>
              </w:rPr>
            </w:pPr>
            <w:r w:rsidRPr="001437F0">
              <w:rPr>
                <w:sz w:val="16"/>
                <w:szCs w:val="16"/>
                <w:lang w:val="es-MX"/>
              </w:rPr>
              <w:t xml:space="preserve">Bancos/Tesorería </w:t>
            </w:r>
          </w:p>
        </w:tc>
      </w:tr>
      <w:tr w:rsidR="00B07015" w:rsidRPr="001437F0" w:rsidTr="001A3359">
        <w:trPr>
          <w:trHeight w:val="20"/>
        </w:trPr>
        <w:tc>
          <w:tcPr>
            <w:tcW w:w="55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jc w:val="center"/>
              <w:rPr>
                <w:color w:val="000000"/>
                <w:sz w:val="16"/>
                <w:szCs w:val="16"/>
                <w:lang w:val="es-MX"/>
              </w:rPr>
            </w:pPr>
            <w:r w:rsidRPr="001437F0">
              <w:rPr>
                <w:color w:val="000000"/>
                <w:sz w:val="16"/>
                <w:szCs w:val="16"/>
                <w:lang w:val="es-MX"/>
              </w:rPr>
              <w:t>759</w:t>
            </w:r>
          </w:p>
        </w:tc>
        <w:tc>
          <w:tcPr>
            <w:tcW w:w="2521"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Otras inversiones en fideicomisos</w:t>
            </w:r>
          </w:p>
        </w:tc>
        <w:tc>
          <w:tcPr>
            <w:tcW w:w="66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jc w:val="center"/>
              <w:rPr>
                <w:color w:val="000000"/>
                <w:sz w:val="16"/>
                <w:szCs w:val="16"/>
                <w:lang w:val="es-MX"/>
              </w:rPr>
            </w:pPr>
            <w:r w:rsidRPr="001437F0">
              <w:rPr>
                <w:color w:val="000000"/>
                <w:sz w:val="16"/>
                <w:szCs w:val="16"/>
                <w:lang w:val="es-MX"/>
              </w:rPr>
              <w:t>2</w:t>
            </w:r>
          </w:p>
        </w:tc>
        <w:tc>
          <w:tcPr>
            <w:tcW w:w="130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p>
        </w:tc>
        <w:tc>
          <w:tcPr>
            <w:tcW w:w="1549"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 xml:space="preserve">Banco </w:t>
            </w:r>
            <w:proofErr w:type="spellStart"/>
            <w:r w:rsidRPr="001437F0">
              <w:rPr>
                <w:color w:val="000000"/>
                <w:sz w:val="16"/>
                <w:szCs w:val="16"/>
                <w:lang w:val="es-MX"/>
              </w:rPr>
              <w:t>Moned.Extr</w:t>
            </w:r>
            <w:proofErr w:type="spellEnd"/>
            <w:r w:rsidRPr="001437F0">
              <w:rPr>
                <w:color w:val="000000"/>
                <w:sz w:val="16"/>
                <w:szCs w:val="16"/>
                <w:lang w:val="es-MX"/>
              </w:rPr>
              <w:t>.</w:t>
            </w:r>
          </w:p>
        </w:tc>
        <w:tc>
          <w:tcPr>
            <w:tcW w:w="867"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2.1.1.5</w:t>
            </w:r>
          </w:p>
        </w:tc>
        <w:tc>
          <w:tcPr>
            <w:tcW w:w="2470"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color w:val="000000"/>
                <w:sz w:val="16"/>
                <w:szCs w:val="16"/>
                <w:lang w:val="es-MX"/>
              </w:rPr>
            </w:pPr>
            <w:r w:rsidRPr="001437F0">
              <w:rPr>
                <w:color w:val="000000"/>
                <w:sz w:val="16"/>
                <w:szCs w:val="16"/>
                <w:lang w:val="es-MX"/>
              </w:rPr>
              <w:t>Transferencias Otorgadas por Pagar a Corto Plazo</w:t>
            </w:r>
          </w:p>
        </w:tc>
        <w:tc>
          <w:tcPr>
            <w:tcW w:w="928"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sz w:val="16"/>
                <w:szCs w:val="16"/>
                <w:lang w:val="es-MX"/>
              </w:rPr>
            </w:pPr>
            <w:r w:rsidRPr="001437F0">
              <w:rPr>
                <w:sz w:val="16"/>
                <w:szCs w:val="16"/>
                <w:lang w:val="es-MX"/>
              </w:rPr>
              <w:t>1.1.1.2</w:t>
            </w:r>
          </w:p>
        </w:tc>
        <w:tc>
          <w:tcPr>
            <w:tcW w:w="2174" w:type="dxa"/>
            <w:tcBorders>
              <w:top w:val="single" w:sz="6" w:space="0" w:color="auto"/>
              <w:left w:val="single" w:sz="6" w:space="0" w:color="auto"/>
              <w:bottom w:val="single" w:sz="6" w:space="0" w:color="auto"/>
              <w:right w:val="single" w:sz="6" w:space="0" w:color="auto"/>
            </w:tcBorders>
            <w:vAlign w:val="center"/>
          </w:tcPr>
          <w:p w:rsidR="00B07015" w:rsidRPr="001437F0" w:rsidRDefault="00B07015" w:rsidP="001A3359">
            <w:pPr>
              <w:pStyle w:val="Texto"/>
              <w:spacing w:after="28"/>
              <w:ind w:firstLine="0"/>
              <w:rPr>
                <w:sz w:val="16"/>
                <w:szCs w:val="16"/>
                <w:lang w:val="es-MX"/>
              </w:rPr>
            </w:pPr>
            <w:r w:rsidRPr="001437F0">
              <w:rPr>
                <w:sz w:val="16"/>
                <w:szCs w:val="16"/>
                <w:lang w:val="es-MX"/>
              </w:rPr>
              <w:t xml:space="preserve">Bancos/Tesorería </w:t>
            </w:r>
          </w:p>
        </w:tc>
      </w:tr>
    </w:tbl>
    <w:p w:rsidR="00B07015" w:rsidRPr="001437F0" w:rsidRDefault="00B07015" w:rsidP="00B07015">
      <w:pPr>
        <w:pStyle w:val="Texto"/>
        <w:spacing w:after="28"/>
      </w:pPr>
    </w:p>
    <w:p w:rsidR="00B07015" w:rsidRPr="001437F0" w:rsidRDefault="00B07015" w:rsidP="00B07015">
      <w:pPr>
        <w:pStyle w:val="Texto"/>
        <w:spacing w:after="28"/>
        <w:rPr>
          <w:b/>
        </w:rPr>
      </w:pPr>
      <w:r w:rsidRPr="001437F0">
        <w:rPr>
          <w:b/>
        </w:rPr>
        <w:t>…</w:t>
      </w:r>
    </w:p>
    <w:p w:rsidR="00B07015" w:rsidRDefault="00B07015" w:rsidP="00B07015">
      <w:pPr>
        <w:pStyle w:val="ANOTACION"/>
        <w:spacing w:after="28"/>
      </w:pPr>
      <w:r w:rsidRPr="001437F0">
        <w:t>TRANSITORIOS</w:t>
      </w:r>
    </w:p>
    <w:p w:rsidR="005936D0" w:rsidRPr="001437F0" w:rsidRDefault="005936D0" w:rsidP="00B07015">
      <w:pPr>
        <w:pStyle w:val="ANOTACION"/>
        <w:spacing w:after="28"/>
      </w:pPr>
    </w:p>
    <w:p w:rsidR="00B07015" w:rsidRPr="001437F0" w:rsidRDefault="00B07015" w:rsidP="00B07015">
      <w:pPr>
        <w:pStyle w:val="Texto"/>
        <w:spacing w:after="28"/>
      </w:pPr>
      <w:r w:rsidRPr="001437F0">
        <w:rPr>
          <w:b/>
        </w:rPr>
        <w:t>PRIMERO.-</w:t>
      </w:r>
      <w:r w:rsidRPr="001437F0">
        <w:t xml:space="preserve"> El presente Acuerdo entrará en vigor a partir del día siguiente de su publicación en el Diario Oficial de la Federación.</w:t>
      </w:r>
    </w:p>
    <w:p w:rsidR="005936D0" w:rsidRDefault="005936D0" w:rsidP="00B07015">
      <w:pPr>
        <w:pStyle w:val="Texto"/>
        <w:spacing w:after="28"/>
        <w:rPr>
          <w:b/>
        </w:rPr>
      </w:pPr>
    </w:p>
    <w:p w:rsidR="00B07015" w:rsidRDefault="00B07015" w:rsidP="00B07015">
      <w:pPr>
        <w:pStyle w:val="Texto"/>
        <w:spacing w:after="28"/>
      </w:pPr>
      <w:r w:rsidRPr="001437F0">
        <w:rPr>
          <w:b/>
        </w:rPr>
        <w:t xml:space="preserve">SEGUNDO.- </w:t>
      </w:r>
      <w:r w:rsidRPr="001437F0">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5936D0" w:rsidRPr="001437F0" w:rsidRDefault="005936D0" w:rsidP="00B07015">
      <w:pPr>
        <w:pStyle w:val="Texto"/>
        <w:spacing w:after="28"/>
      </w:pPr>
    </w:p>
    <w:p w:rsidR="00B07015" w:rsidRDefault="00B07015" w:rsidP="00B07015">
      <w:pPr>
        <w:pStyle w:val="Texto"/>
        <w:spacing w:after="28"/>
      </w:pPr>
      <w:r w:rsidRPr="001437F0">
        <w:rPr>
          <w:b/>
        </w:rPr>
        <w:t xml:space="preserve">TERCERO.- </w:t>
      </w:r>
      <w:r w:rsidRPr="001437F0">
        <w:t>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5936D0" w:rsidRPr="001437F0" w:rsidRDefault="005936D0" w:rsidP="00B07015">
      <w:pPr>
        <w:pStyle w:val="Texto"/>
        <w:spacing w:after="28"/>
      </w:pPr>
    </w:p>
    <w:p w:rsidR="00B07015" w:rsidRDefault="00B07015" w:rsidP="00B07015">
      <w:pPr>
        <w:pStyle w:val="Texto"/>
        <w:spacing w:after="28"/>
      </w:pPr>
      <w:r w:rsidRPr="001437F0">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w:t>
      </w:r>
      <w:r w:rsidRPr="001437F0">
        <w:lastRenderedPageBreak/>
        <w:t xml:space="preserve">Armonización Contable, </w:t>
      </w:r>
      <w:r w:rsidRPr="001437F0">
        <w:rPr>
          <w:b/>
        </w:rPr>
        <w:t>HAGO CONSTAR Y CERTIFICO</w:t>
      </w:r>
      <w:r w:rsidRPr="001437F0">
        <w:t xml:space="preserve"> que el documento consistente en 4 fojas útiles, rubricadas y cotejadas, corresponde con el texto del Acuerdo por el que se Reforma y Adiciona el Manual de Contabilidad Gubernamental,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5936D0" w:rsidRPr="001437F0" w:rsidRDefault="005936D0" w:rsidP="00B07015">
      <w:pPr>
        <w:pStyle w:val="Texto"/>
        <w:spacing w:after="28"/>
      </w:pPr>
    </w:p>
    <w:p w:rsidR="00B07015" w:rsidRDefault="00B07015" w:rsidP="00B07015">
      <w:pPr>
        <w:pStyle w:val="Texto"/>
        <w:spacing w:after="28"/>
      </w:pPr>
      <w:r w:rsidRPr="001437F0">
        <w:t xml:space="preserve">La Secretaria Técnica del Consejo Nacional de Armonización Contable, </w:t>
      </w:r>
      <w:r w:rsidRPr="001437F0">
        <w:rPr>
          <w:b/>
        </w:rPr>
        <w:t>María Teresa Castro Corro</w:t>
      </w:r>
      <w:r w:rsidRPr="001437F0">
        <w:t>.- Rúbrica.</w:t>
      </w:r>
    </w:p>
    <w:p w:rsidR="00B07015" w:rsidRDefault="00B07015" w:rsidP="00B07015">
      <w:pPr>
        <w:pStyle w:val="Texto"/>
        <w:ind w:firstLine="0"/>
        <w:sectPr w:rsidR="00B07015" w:rsidSect="00B70364">
          <w:headerReference w:type="even" r:id="rId7"/>
          <w:headerReference w:type="default" r:id="rId8"/>
          <w:pgSz w:w="15840" w:h="12240" w:orient="landscape" w:code="1"/>
          <w:pgMar w:top="1699" w:right="1152" w:bottom="1699" w:left="1296" w:header="706" w:footer="706" w:gutter="0"/>
          <w:cols w:space="708"/>
          <w:docGrid w:linePitch="360"/>
        </w:sectPr>
      </w:pPr>
    </w:p>
    <w:p w:rsidR="00B07015" w:rsidRPr="0006297E" w:rsidRDefault="00B07015" w:rsidP="00B07015">
      <w:pPr>
        <w:pStyle w:val="Titulo1"/>
      </w:pPr>
      <w:bookmarkStart w:id="0" w:name="_GoBack"/>
      <w:bookmarkEnd w:id="0"/>
      <w:r w:rsidRPr="0006297E">
        <w:lastRenderedPageBreak/>
        <w:t>ACUERDO por el que se reforma la Norma para armonizar la presentación de la información adicional del Proyecto del Presupuesto de Egresos.</w:t>
      </w:r>
    </w:p>
    <w:p w:rsidR="00B07015" w:rsidRPr="0006297E" w:rsidRDefault="00B07015" w:rsidP="00B07015">
      <w:pPr>
        <w:pStyle w:val="Texto"/>
        <w:rPr>
          <w:lang w:val="es-MX"/>
        </w:rPr>
      </w:pPr>
    </w:p>
    <w:p w:rsidR="00B07015" w:rsidRPr="0006297E" w:rsidRDefault="00B07015" w:rsidP="00B07015">
      <w:pPr>
        <w:pStyle w:val="Texto"/>
        <w:spacing w:line="238" w:lineRule="exact"/>
      </w:pPr>
      <w:r w:rsidRPr="0006297E">
        <w:t>El Consejo Nacional de Armonización Contable con fundamento en los artículos 6, 7 y 9 de la Ley General de Contabilidad Gubernamental, aprobó el siguiente:</w:t>
      </w:r>
    </w:p>
    <w:p w:rsidR="00B07015" w:rsidRPr="0006297E" w:rsidRDefault="00B07015" w:rsidP="00B07015">
      <w:pPr>
        <w:pStyle w:val="Texto"/>
        <w:spacing w:line="238" w:lineRule="exact"/>
        <w:ind w:firstLine="0"/>
        <w:jc w:val="center"/>
        <w:rPr>
          <w:b/>
        </w:rPr>
      </w:pPr>
      <w:r w:rsidRPr="0006297E">
        <w:rPr>
          <w:b/>
        </w:rPr>
        <w:t>Acuerdo por el que se Reforma la Norma para armonizar la presentación de la información  adicional del Proyecto del Presupuesto de Egresos</w:t>
      </w:r>
    </w:p>
    <w:p w:rsidR="00B07015" w:rsidRPr="0006297E" w:rsidRDefault="00B07015" w:rsidP="00B07015">
      <w:pPr>
        <w:pStyle w:val="ANOTACION"/>
        <w:spacing w:line="238" w:lineRule="exact"/>
      </w:pPr>
      <w:r w:rsidRPr="0006297E">
        <w:t>CONSIDERANDOS</w:t>
      </w:r>
    </w:p>
    <w:p w:rsidR="00B07015" w:rsidRPr="0006297E" w:rsidRDefault="00B07015" w:rsidP="00B07015">
      <w:pPr>
        <w:pStyle w:val="Texto"/>
        <w:spacing w:line="238" w:lineRule="exact"/>
      </w:pPr>
      <w:r w:rsidRPr="0006297E">
        <w:t>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 Así como su reforma el 12 de noviembre de 2012 adicionando el Título Quinto De la Transparencia y Difusión de la Información Financiera.</w:t>
      </w:r>
    </w:p>
    <w:p w:rsidR="00B07015" w:rsidRPr="0006297E" w:rsidRDefault="00B07015" w:rsidP="00B07015">
      <w:pPr>
        <w:pStyle w:val="Texto"/>
        <w:spacing w:line="238" w:lineRule="exact"/>
      </w:pPr>
      <w:r w:rsidRPr="0006297E">
        <w:t>Que en este marco y en cumplimiento de sus funciones, el Consejo Nacional de Armonización Contable (CONAC) publicó en el Diario Oficial de la Federación el 3 de abril de 2013 la Norma para armonizar la presentación de la información adicional del Proyecto del Presupuesto de Egresos.</w:t>
      </w:r>
    </w:p>
    <w:p w:rsidR="00B07015" w:rsidRPr="0006297E" w:rsidRDefault="00B07015" w:rsidP="00B07015">
      <w:pPr>
        <w:pStyle w:val="Texto"/>
        <w:spacing w:line="238" w:lineRule="exact"/>
      </w:pPr>
      <w:r w:rsidRPr="0006297E">
        <w:t>Que es necesario realizar la reforma al cuadro de Entidad Federativa/Municipio con Clasificación por Tipo de Gasto, derivado del Acuerdo por el que se Reforma y Adiciona el Clasificador por Tipo de Gasto (Clasificación Económica) emitido por CONAC y publicado en el Diario Oficial de la Federación el 30 de septiembre de 2015.</w:t>
      </w:r>
    </w:p>
    <w:p w:rsidR="00B07015" w:rsidRPr="0006297E" w:rsidRDefault="00B07015" w:rsidP="00B07015">
      <w:pPr>
        <w:pStyle w:val="Texto"/>
        <w:spacing w:line="238" w:lineRule="exact"/>
      </w:pPr>
      <w:r w:rsidRPr="0006297E">
        <w:t>Por lo expuesto, el Consejo Nacional de Armonización Contable aprobó el siguiente:</w:t>
      </w:r>
    </w:p>
    <w:p w:rsidR="00B07015" w:rsidRPr="0006297E" w:rsidRDefault="00B07015" w:rsidP="00B07015">
      <w:pPr>
        <w:pStyle w:val="ANOTACION"/>
        <w:spacing w:line="238" w:lineRule="exact"/>
      </w:pPr>
      <w:r w:rsidRPr="0006297E">
        <w:t>Acuerdo por el que se Reforma la Norma para armonizar la presentación de la información  adicional del Proyecto del Presupuesto de Egresos</w:t>
      </w:r>
    </w:p>
    <w:p w:rsidR="00B07015" w:rsidRPr="0006297E" w:rsidRDefault="00B07015" w:rsidP="00B07015">
      <w:pPr>
        <w:pStyle w:val="Texto"/>
        <w:spacing w:line="238" w:lineRule="exact"/>
        <w:rPr>
          <w:b/>
        </w:rPr>
      </w:pPr>
      <w:r w:rsidRPr="0006297E">
        <w:rPr>
          <w:b/>
        </w:rPr>
        <w:t>…</w:t>
      </w:r>
    </w:p>
    <w:p w:rsidR="00B07015" w:rsidRPr="0006297E" w:rsidRDefault="00B07015" w:rsidP="00B07015">
      <w:pPr>
        <w:pStyle w:val="Texto"/>
        <w:spacing w:line="238" w:lineRule="exact"/>
      </w:pPr>
      <w:r w:rsidRPr="0006297E">
        <w:t>Formato del Proyecto del Presupuesto de Egresos Armonizado:</w:t>
      </w:r>
    </w:p>
    <w:p w:rsidR="00B07015" w:rsidRPr="0006297E" w:rsidRDefault="00B07015" w:rsidP="00B07015">
      <w:pPr>
        <w:pStyle w:val="Texto"/>
        <w:spacing w:line="238" w:lineRule="exact"/>
        <w:rPr>
          <w:b/>
        </w:rPr>
      </w:pPr>
      <w:r w:rsidRPr="0006297E">
        <w:rPr>
          <w:b/>
        </w:rPr>
        <w:t>…</w:t>
      </w:r>
    </w:p>
    <w:tbl>
      <w:tblPr>
        <w:tblW w:w="6384" w:type="dxa"/>
        <w:jc w:val="center"/>
        <w:tblInd w:w="144" w:type="dxa"/>
        <w:tblLayout w:type="fixed"/>
        <w:tblCellMar>
          <w:left w:w="72" w:type="dxa"/>
          <w:right w:w="72" w:type="dxa"/>
        </w:tblCellMar>
        <w:tblLook w:val="0000" w:firstRow="0" w:lastRow="0" w:firstColumn="0" w:lastColumn="0" w:noHBand="0" w:noVBand="0"/>
      </w:tblPr>
      <w:tblGrid>
        <w:gridCol w:w="5297"/>
        <w:gridCol w:w="1087"/>
      </w:tblGrid>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r w:rsidRPr="0006297E">
              <w:rPr>
                <w:sz w:val="16"/>
                <w:szCs w:val="16"/>
              </w:rPr>
              <w:t>Entidad Federativa/Municipio</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p>
        </w:tc>
      </w:tr>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r w:rsidRPr="0006297E">
              <w:rPr>
                <w:sz w:val="16"/>
                <w:szCs w:val="16"/>
              </w:rPr>
              <w:t>Presupuesto de Egresos para el Ejercicio Fiscal XXXX</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p>
        </w:tc>
      </w:tr>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r w:rsidRPr="0006297E">
              <w:rPr>
                <w:sz w:val="16"/>
                <w:szCs w:val="16"/>
              </w:rPr>
              <w:t>Clasificación por Tipo de Gasto</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r w:rsidRPr="0006297E">
              <w:rPr>
                <w:sz w:val="16"/>
                <w:szCs w:val="16"/>
              </w:rPr>
              <w:t>Importe</w:t>
            </w:r>
          </w:p>
        </w:tc>
      </w:tr>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r w:rsidRPr="0006297E">
              <w:rPr>
                <w:sz w:val="16"/>
                <w:szCs w:val="16"/>
              </w:rPr>
              <w:t>Total</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p>
        </w:tc>
      </w:tr>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rPr>
                <w:sz w:val="16"/>
                <w:szCs w:val="16"/>
              </w:rPr>
            </w:pPr>
            <w:r w:rsidRPr="0006297E">
              <w:rPr>
                <w:b/>
                <w:sz w:val="16"/>
                <w:szCs w:val="16"/>
              </w:rPr>
              <w:t>…</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p>
        </w:tc>
      </w:tr>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rPr>
                <w:sz w:val="16"/>
                <w:szCs w:val="16"/>
              </w:rPr>
            </w:pPr>
            <w:r w:rsidRPr="0006297E">
              <w:rPr>
                <w:sz w:val="16"/>
                <w:szCs w:val="16"/>
              </w:rPr>
              <w:t>Pensiones y Jubilaciones</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p>
        </w:tc>
      </w:tr>
      <w:tr w:rsidR="00B07015" w:rsidRPr="0006297E" w:rsidTr="001A3359">
        <w:tblPrEx>
          <w:tblCellMar>
            <w:top w:w="0" w:type="dxa"/>
            <w:bottom w:w="0" w:type="dxa"/>
          </w:tblCellMar>
        </w:tblPrEx>
        <w:trPr>
          <w:trHeight w:val="17"/>
          <w:jc w:val="center"/>
        </w:trPr>
        <w:tc>
          <w:tcPr>
            <w:tcW w:w="529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rPr>
                <w:sz w:val="16"/>
                <w:szCs w:val="16"/>
              </w:rPr>
            </w:pPr>
            <w:r w:rsidRPr="0006297E">
              <w:rPr>
                <w:sz w:val="16"/>
                <w:szCs w:val="16"/>
              </w:rPr>
              <w:t>Participaciones</w:t>
            </w:r>
          </w:p>
        </w:tc>
        <w:tc>
          <w:tcPr>
            <w:tcW w:w="1087" w:type="dxa"/>
            <w:tcBorders>
              <w:top w:val="single" w:sz="6" w:space="0" w:color="auto"/>
              <w:left w:val="single" w:sz="6" w:space="0" w:color="auto"/>
              <w:bottom w:val="single" w:sz="6" w:space="0" w:color="auto"/>
              <w:right w:val="single" w:sz="6" w:space="0" w:color="auto"/>
            </w:tcBorders>
            <w:vAlign w:val="center"/>
          </w:tcPr>
          <w:p w:rsidR="00B07015" w:rsidRPr="0006297E" w:rsidRDefault="00B07015" w:rsidP="001A3359">
            <w:pPr>
              <w:pStyle w:val="Texto"/>
              <w:spacing w:line="238" w:lineRule="exact"/>
              <w:ind w:firstLine="0"/>
              <w:jc w:val="center"/>
              <w:rPr>
                <w:sz w:val="16"/>
                <w:szCs w:val="16"/>
              </w:rPr>
            </w:pPr>
          </w:p>
        </w:tc>
      </w:tr>
    </w:tbl>
    <w:p w:rsidR="00B07015" w:rsidRPr="0006297E" w:rsidRDefault="00B07015" w:rsidP="00B07015">
      <w:pPr>
        <w:pStyle w:val="Texto"/>
        <w:spacing w:line="238" w:lineRule="exact"/>
        <w:rPr>
          <w:b/>
        </w:rPr>
      </w:pPr>
    </w:p>
    <w:p w:rsidR="00B07015" w:rsidRPr="0006297E" w:rsidRDefault="00B07015" w:rsidP="00B07015">
      <w:pPr>
        <w:pStyle w:val="ANOTACION"/>
        <w:spacing w:line="238" w:lineRule="exact"/>
      </w:pPr>
      <w:r w:rsidRPr="0006297E">
        <w:t>TRANSITORIOS</w:t>
      </w:r>
    </w:p>
    <w:p w:rsidR="00B07015" w:rsidRPr="0006297E" w:rsidRDefault="00B07015" w:rsidP="00B07015">
      <w:pPr>
        <w:pStyle w:val="Texto"/>
        <w:spacing w:line="238" w:lineRule="exact"/>
      </w:pPr>
      <w:r w:rsidRPr="0006297E">
        <w:rPr>
          <w:b/>
        </w:rPr>
        <w:t>PRIMERO.-</w:t>
      </w:r>
      <w:r w:rsidRPr="0006297E">
        <w:t xml:space="preserve"> El presente Acuerdo entrará en vigor a partir del inicio del ejercicio fiscal de 2016.</w:t>
      </w:r>
    </w:p>
    <w:p w:rsidR="00B07015" w:rsidRPr="0006297E" w:rsidRDefault="00B07015" w:rsidP="00B07015">
      <w:pPr>
        <w:pStyle w:val="Texto"/>
        <w:spacing w:line="238" w:lineRule="exact"/>
      </w:pPr>
      <w:r w:rsidRPr="0006297E">
        <w:rPr>
          <w:b/>
        </w:rPr>
        <w:t xml:space="preserve">SEGUNDO.- </w:t>
      </w:r>
      <w:r w:rsidRPr="0006297E">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B07015" w:rsidRPr="0006297E" w:rsidRDefault="00B07015" w:rsidP="00B07015">
      <w:pPr>
        <w:pStyle w:val="Texto"/>
        <w:spacing w:line="238" w:lineRule="exact"/>
      </w:pPr>
      <w:r w:rsidRPr="0006297E">
        <w:rPr>
          <w:b/>
        </w:rPr>
        <w:t xml:space="preserve">TERCERO.- </w:t>
      </w:r>
      <w:r w:rsidRPr="0006297E">
        <w:t xml:space="preserve">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w:t>
      </w:r>
      <w:r w:rsidRPr="0006297E">
        <w:lastRenderedPageBreak/>
        <w:t>ayuntamientos de los municipios remitirán a la Secretaria Técnica la información relacionada con dichos actos. Dicha información deberá ser enviada a la dirección electrónica conac_sriotecnico@hacienda.gob.mx, dentro de un plazo de 15 días hábiles contados a partir de la conclusión del plazo fijado en el presente. Los municipios sujetos del presente acuerdo podrán enviar la información antes referida por correo ordinario, a la atención de la Secretaria Técnica del CONAC, en el domicilio de Constituyentes 1001, Colonia Belén de las Flores, Delegación Álvaro Obregón, México, D.F., C.P. 01110.</w:t>
      </w:r>
    </w:p>
    <w:p w:rsidR="00B07015" w:rsidRPr="0006297E" w:rsidRDefault="00B07015" w:rsidP="00B07015">
      <w:pPr>
        <w:pStyle w:val="Texto"/>
        <w:spacing w:after="80"/>
      </w:pPr>
      <w:r w:rsidRPr="0006297E">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06297E">
        <w:rPr>
          <w:b/>
        </w:rPr>
        <w:t>HAGO CONSTAR Y CERTIFICO</w:t>
      </w:r>
      <w:r w:rsidRPr="0006297E">
        <w:t xml:space="preserve"> que el documento consistente 1 foja útil, rubricada y cotejada, corresponde con el texto del Acuerdo por el que se Reforma la Norma para armonizar la presentación de la información adicional del Proyecto del Presupuesto de Egresos,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B07015" w:rsidRDefault="00B07015" w:rsidP="00B07015">
      <w:pPr>
        <w:pStyle w:val="Texto"/>
        <w:spacing w:after="80"/>
      </w:pPr>
      <w:r w:rsidRPr="0006297E">
        <w:t xml:space="preserve">La Secretaria Técnica del Consejo Nacional de Armonización Contable, </w:t>
      </w:r>
      <w:r w:rsidRPr="0006297E">
        <w:rPr>
          <w:b/>
        </w:rPr>
        <w:t>María Teresa Castro Corro</w:t>
      </w:r>
      <w:r w:rsidRPr="0006297E">
        <w:t>.- Rúbrica.</w:t>
      </w:r>
    </w:p>
    <w:p w:rsidR="00B07015" w:rsidRDefault="00B07015">
      <w:pPr>
        <w:spacing w:after="200" w:line="276" w:lineRule="auto"/>
        <w:rPr>
          <w:rFonts w:ascii="Arial" w:hAnsi="Arial" w:cs="Arial"/>
          <w:sz w:val="18"/>
          <w:szCs w:val="20"/>
        </w:rPr>
      </w:pPr>
      <w:r>
        <w:br w:type="page"/>
      </w:r>
    </w:p>
    <w:p w:rsidR="00B07015" w:rsidRPr="0034198F" w:rsidRDefault="00B07015" w:rsidP="00B07015">
      <w:pPr>
        <w:pStyle w:val="Titulo1"/>
      </w:pPr>
      <w:r w:rsidRPr="0034198F">
        <w:lastRenderedPageBreak/>
        <w:t>REFORMA a las Reglas de Operación del Comité Consultivo.</w:t>
      </w:r>
    </w:p>
    <w:p w:rsidR="00B07015" w:rsidRPr="0034198F" w:rsidRDefault="00B07015" w:rsidP="00B07015">
      <w:pPr>
        <w:pStyle w:val="Texto"/>
      </w:pPr>
    </w:p>
    <w:p w:rsidR="00B07015" w:rsidRPr="0034198F" w:rsidRDefault="00B07015" w:rsidP="00B07015">
      <w:pPr>
        <w:pStyle w:val="Texto"/>
        <w:spacing w:line="217" w:lineRule="exact"/>
      </w:pPr>
      <w:r w:rsidRPr="0034198F">
        <w:t>El Consejo Nacional de Armonización Contable con fundamento en los artículos 6, 7 y 9 de la Ley General de Contabilidad Gubernamental, aprobó la siguiente:</w:t>
      </w:r>
    </w:p>
    <w:p w:rsidR="00B07015" w:rsidRPr="0034198F" w:rsidRDefault="00B07015" w:rsidP="00B07015">
      <w:pPr>
        <w:pStyle w:val="Texto"/>
        <w:spacing w:line="217" w:lineRule="exact"/>
        <w:ind w:firstLine="0"/>
        <w:jc w:val="center"/>
        <w:rPr>
          <w:b/>
        </w:rPr>
      </w:pPr>
      <w:r w:rsidRPr="0034198F">
        <w:rPr>
          <w:b/>
        </w:rPr>
        <w:t>REFORMA A LAS REGLAS DE OPERACIÓN DEL COMITÉ CONSULTIVO</w:t>
      </w:r>
    </w:p>
    <w:p w:rsidR="00B07015" w:rsidRPr="0034198F" w:rsidRDefault="00B07015" w:rsidP="00B07015">
      <w:pPr>
        <w:pStyle w:val="ANOTACION"/>
        <w:spacing w:line="217" w:lineRule="exact"/>
      </w:pPr>
      <w:r w:rsidRPr="0034198F">
        <w:t>CONSIDERANDOS</w:t>
      </w:r>
    </w:p>
    <w:p w:rsidR="00B07015" w:rsidRPr="0034198F" w:rsidRDefault="00B07015" w:rsidP="00B07015">
      <w:pPr>
        <w:pStyle w:val="Texto"/>
        <w:spacing w:line="217" w:lineRule="exact"/>
      </w:pPr>
      <w:r w:rsidRPr="0034198F">
        <w:t>Que el 31 de diciembre de 2008 fue publicada en el Diario Oficial de la Federación la Ley General de Contabilidad Gubernamental,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B07015" w:rsidRPr="0034198F" w:rsidRDefault="00B07015" w:rsidP="00B07015">
      <w:pPr>
        <w:pStyle w:val="Texto"/>
        <w:spacing w:line="217" w:lineRule="exact"/>
      </w:pPr>
      <w:r w:rsidRPr="0034198F">
        <w:t>Que en este marco y en cumplimiento de sus funciones, el 13 de febrero de 2009 se instaló el Comité Consultivo del Consejo Nacional de Armonización Contable (CONAC), mismo que realizó su Primera Reunión de Trabajo el 27 de febrero de 2009 en donde se presentó el proyecto de Reglas de Operación del Comité, las cuales fueron aprobadas.</w:t>
      </w:r>
    </w:p>
    <w:p w:rsidR="00B07015" w:rsidRPr="0034198F" w:rsidRDefault="00B07015" w:rsidP="00B07015">
      <w:pPr>
        <w:pStyle w:val="Texto"/>
        <w:spacing w:line="217" w:lineRule="exact"/>
      </w:pPr>
      <w:r w:rsidRPr="0034198F">
        <w:t>Que con fundamento en el artículo 9, fracción IV de la Ley General de Contabilidad Gubernamental, el Consejo tiene entre otras, la facultad de emitir las reglas de operación del Comité.</w:t>
      </w:r>
    </w:p>
    <w:p w:rsidR="00B07015" w:rsidRPr="0034198F" w:rsidRDefault="00B07015" w:rsidP="00B07015">
      <w:pPr>
        <w:pStyle w:val="Texto"/>
        <w:spacing w:line="217" w:lineRule="exact"/>
      </w:pPr>
      <w:r w:rsidRPr="0034198F">
        <w:t>Que se considera necesario homologar los plazos para elaborar el plan anual de trabajo; que el Secretario Técnico del CONAC informe de la designación como miembros del Comité a cada uno de los representantes municipales; que para efectos de la celebración de la sesión del Comité se defina la suplencia de sus integrantes; que se adecue el número de sesiones que debe realizar el Comité en congruencia con las que realiza el CONAC; que se homologuen los plazos de convocatoria con la emisión de opiniones de los integrantes del Comité; que se realicen las modificaciones necesarias para emitir las convocatorias y ajustarlas conforme a las Reglas de Operación del CONAC, así como otros ajustes de formato.</w:t>
      </w:r>
    </w:p>
    <w:p w:rsidR="00B07015" w:rsidRPr="0034198F" w:rsidRDefault="00B07015" w:rsidP="00B07015">
      <w:pPr>
        <w:pStyle w:val="Texto"/>
        <w:spacing w:line="217" w:lineRule="exact"/>
      </w:pPr>
      <w:r w:rsidRPr="0034198F">
        <w:t>Por lo expuesto, el Consejo Nacional de Armonización Contable aprobó la siguiente:</w:t>
      </w:r>
    </w:p>
    <w:p w:rsidR="00B07015" w:rsidRPr="0034198F" w:rsidRDefault="00B07015" w:rsidP="00B07015">
      <w:pPr>
        <w:pStyle w:val="ANOTACION"/>
        <w:spacing w:line="217" w:lineRule="exact"/>
      </w:pPr>
      <w:r w:rsidRPr="0034198F">
        <w:t>REFORMA A LAS REGLAS DE OPERACIÓN DEL COMITÉ CONSULTIVO</w:t>
      </w:r>
    </w:p>
    <w:p w:rsidR="00B07015" w:rsidRPr="0034198F" w:rsidRDefault="00B07015" w:rsidP="00B07015">
      <w:pPr>
        <w:pStyle w:val="Texto"/>
        <w:spacing w:line="217" w:lineRule="exact"/>
        <w:ind w:firstLine="0"/>
        <w:jc w:val="center"/>
        <w:rPr>
          <w:b/>
          <w:caps/>
        </w:rPr>
      </w:pPr>
      <w:r w:rsidRPr="0034198F">
        <w:rPr>
          <w:b/>
          <w:caps/>
        </w:rPr>
        <w:t>CAPÍTULO I</w:t>
      </w:r>
    </w:p>
    <w:p w:rsidR="00B07015" w:rsidRPr="0034198F" w:rsidRDefault="00B07015" w:rsidP="00B07015">
      <w:pPr>
        <w:pStyle w:val="Texto"/>
        <w:spacing w:line="217" w:lineRule="exact"/>
        <w:ind w:firstLine="0"/>
        <w:jc w:val="center"/>
        <w:rPr>
          <w:b/>
          <w:caps/>
        </w:rPr>
      </w:pPr>
      <w:r w:rsidRPr="0034198F">
        <w:rPr>
          <w:b/>
          <w:caps/>
        </w:rPr>
        <w:t>DISPOSICIONES GENERALES</w:t>
      </w:r>
    </w:p>
    <w:p w:rsidR="00B07015" w:rsidRPr="0034198F" w:rsidRDefault="00B07015" w:rsidP="00B07015">
      <w:pPr>
        <w:pStyle w:val="Texto"/>
        <w:spacing w:line="217" w:lineRule="exact"/>
      </w:pPr>
      <w:r w:rsidRPr="0034198F">
        <w:rPr>
          <w:b/>
        </w:rPr>
        <w:t>Regla 1.-</w:t>
      </w:r>
      <w:r w:rsidRPr="0034198F">
        <w:rPr>
          <w:b/>
          <w:spacing w:val="20"/>
        </w:rPr>
        <w:t xml:space="preserve"> </w:t>
      </w:r>
      <w:r w:rsidRPr="0034198F">
        <w:t>Las presentes reglas de operación (Reglas) tienen por objeto establecer las bases de integración, organización y funcionamiento del Comité Consultivo (Comité), a fin de dar cumplimiento a lo dispuesto en el Artículo 13 de la Ley General de Contabilidad Gubernamental (Ley).</w:t>
      </w:r>
    </w:p>
    <w:p w:rsidR="00B07015" w:rsidRPr="0034198F" w:rsidRDefault="00B07015" w:rsidP="00B07015">
      <w:pPr>
        <w:pStyle w:val="Texto"/>
        <w:spacing w:line="217" w:lineRule="exact"/>
      </w:pPr>
      <w:r w:rsidRPr="0034198F">
        <w:rPr>
          <w:b/>
        </w:rPr>
        <w:t xml:space="preserve">Regla 2.- </w:t>
      </w:r>
      <w:r w:rsidRPr="0034198F">
        <w:t>Para los efectos de las Reglas, se utilizarán las definiciones establecidas en el Artículo 4 de la Ley.</w:t>
      </w:r>
    </w:p>
    <w:p w:rsidR="00B07015" w:rsidRPr="0034198F" w:rsidRDefault="00B07015" w:rsidP="00B07015">
      <w:pPr>
        <w:pStyle w:val="Texto"/>
        <w:spacing w:line="217" w:lineRule="exact"/>
      </w:pPr>
      <w:r w:rsidRPr="0034198F">
        <w:rPr>
          <w:b/>
        </w:rPr>
        <w:t xml:space="preserve">Regla 3.- </w:t>
      </w:r>
      <w:r w:rsidRPr="0034198F">
        <w:t>El Comité elaborará su programa anual de trabajo durante el primer trimestre del ejercicio fiscal. Dicho programa deberá ser consistente con el emitido por el Consejo Nacional de Armonización Contable (Consejo), tanto en su objeto, contenido y alcance.</w:t>
      </w:r>
    </w:p>
    <w:p w:rsidR="00B07015" w:rsidRPr="0034198F" w:rsidRDefault="00B07015" w:rsidP="00B07015">
      <w:pPr>
        <w:pStyle w:val="Texto"/>
        <w:spacing w:line="217" w:lineRule="exact"/>
        <w:ind w:firstLine="0"/>
        <w:jc w:val="center"/>
        <w:rPr>
          <w:b/>
          <w:caps/>
        </w:rPr>
      </w:pPr>
      <w:r w:rsidRPr="0034198F">
        <w:rPr>
          <w:b/>
          <w:caps/>
        </w:rPr>
        <w:t>CAPÍTULO II</w:t>
      </w:r>
    </w:p>
    <w:p w:rsidR="00B07015" w:rsidRPr="0034198F" w:rsidRDefault="00B07015" w:rsidP="00B07015">
      <w:pPr>
        <w:pStyle w:val="Texto"/>
        <w:spacing w:line="217" w:lineRule="exact"/>
        <w:ind w:firstLine="0"/>
        <w:jc w:val="center"/>
        <w:rPr>
          <w:b/>
          <w:caps/>
        </w:rPr>
      </w:pPr>
      <w:r w:rsidRPr="0034198F">
        <w:rPr>
          <w:b/>
          <w:caps/>
        </w:rPr>
        <w:t>DE LA INTEGRACIÓN Y DE LAS SESIONES DEL COMITÉ CONSULTIVO</w:t>
      </w:r>
    </w:p>
    <w:p w:rsidR="00B07015" w:rsidRPr="0034198F" w:rsidRDefault="00B07015" w:rsidP="00B07015">
      <w:pPr>
        <w:pStyle w:val="Texto"/>
        <w:spacing w:line="217" w:lineRule="exact"/>
      </w:pPr>
      <w:r w:rsidRPr="0034198F">
        <w:rPr>
          <w:b/>
        </w:rPr>
        <w:t>Regla 4.-</w:t>
      </w:r>
      <w:r w:rsidRPr="0034198F">
        <w:t xml:space="preserve"> La designación de los miembros del Comité se realizará conforme a lo siguiente:</w:t>
      </w:r>
    </w:p>
    <w:p w:rsidR="00B07015" w:rsidRPr="0034198F" w:rsidRDefault="00B07015" w:rsidP="00B07015">
      <w:pPr>
        <w:pStyle w:val="ROMANOS"/>
        <w:spacing w:line="217" w:lineRule="exact"/>
      </w:pPr>
      <w:r w:rsidRPr="0034198F">
        <w:t>I.</w:t>
      </w:r>
      <w:r w:rsidRPr="0034198F">
        <w:tab/>
        <w:t>El Secretario Técnico del Consejo notificará a cada uno de los ocho integrantes de la Comisión Permanente de Funcionarios Fiscales (CPFF) su designación como miembros del Comité por mandato de la Ley;</w:t>
      </w:r>
    </w:p>
    <w:p w:rsidR="00B07015" w:rsidRPr="0034198F" w:rsidRDefault="00B07015" w:rsidP="00B07015">
      <w:pPr>
        <w:pStyle w:val="ROMANOS"/>
        <w:spacing w:line="217" w:lineRule="exact"/>
      </w:pPr>
      <w:r w:rsidRPr="0034198F">
        <w:t>II.</w:t>
      </w:r>
      <w:r w:rsidRPr="0034198F">
        <w:tab/>
        <w:t>Para el caso de los representantes de los municipios que integran el Comité, el Secretario Técnico del Consejo deberá solicitar a la CPFF que proponga al Consejo, para su designación, un representante de cada uno de los grupos previstos en el artículo 20, fracción III de la Ley de Coordinación Fiscal; una vez recibidas y aprobadas por el Consejo dichas designaciones serán informadas por el Secretario Técnico del Consejo a cada uno de los ocho representantes municipales. Los representantes de los municipios deberán contar con atribuciones en materia de contabilidad gubernamental en el municipio que representan;</w:t>
      </w:r>
    </w:p>
    <w:p w:rsidR="00B07015" w:rsidRPr="0034198F" w:rsidRDefault="00B07015" w:rsidP="00B07015">
      <w:pPr>
        <w:pStyle w:val="ROMANOS"/>
        <w:spacing w:line="217" w:lineRule="exact"/>
      </w:pPr>
      <w:r w:rsidRPr="0034198F">
        <w:t>III.</w:t>
      </w:r>
      <w:r w:rsidRPr="0034198F">
        <w:tab/>
        <w:t>El Secretario Técnico del Consejo deberá solicitar a la Auditoría Superior de la Federación, que comunique el nombre y el cargo del funcionario que representará a la Auditoría en el Comité;</w:t>
      </w:r>
    </w:p>
    <w:p w:rsidR="00B07015" w:rsidRPr="0034198F" w:rsidRDefault="00B07015" w:rsidP="00B07015">
      <w:pPr>
        <w:pStyle w:val="ROMANOS"/>
        <w:spacing w:after="86"/>
      </w:pPr>
      <w:r w:rsidRPr="0034198F">
        <w:lastRenderedPageBreak/>
        <w:t>IV.</w:t>
      </w:r>
      <w:r w:rsidRPr="0034198F">
        <w:tab/>
        <w:t>En lo relativo al representante de las entidades estatales de fiscalización, el Secretario Técnico del Consejo solicitará a la Asociación Nacional de Organismos de Fiscalización y Control Gubernamental que remita al Consejo, para su designación, la propuesta correspondiente;</w:t>
      </w:r>
    </w:p>
    <w:p w:rsidR="00B07015" w:rsidRPr="0034198F" w:rsidRDefault="00B07015" w:rsidP="00B07015">
      <w:pPr>
        <w:pStyle w:val="ROMANOS"/>
        <w:spacing w:after="86"/>
      </w:pPr>
      <w:r w:rsidRPr="0034198F">
        <w:t>V.</w:t>
      </w:r>
      <w:r w:rsidRPr="0034198F">
        <w:tab/>
        <w:t>El Secretario Técnico del Consejo deberá notificar al Director General del Instituto para el Desarrollo Técnico de las Haciendas Públicas su designación como integrante del Comité por mandato de la Ley;</w:t>
      </w:r>
    </w:p>
    <w:p w:rsidR="00B07015" w:rsidRPr="0034198F" w:rsidRDefault="00B07015" w:rsidP="00B07015">
      <w:pPr>
        <w:pStyle w:val="ROMANOS"/>
        <w:spacing w:after="86"/>
      </w:pPr>
      <w:r w:rsidRPr="0034198F">
        <w:t>VI.</w:t>
      </w:r>
      <w:r w:rsidRPr="0034198F">
        <w:tab/>
        <w:t>Para el caso de los representantes de la Federación Nacional de la Asociación Mexicana de Colegios de Contadores Públicos y el Instituto Mexicano de Contadores Públicos, el Secretario Técnico del Consejo deberá solicitar tanto a la Federación como al Instituto que comuniquen el nombre y el cargo del profesionista que los representará en el Comité, y</w:t>
      </w:r>
    </w:p>
    <w:p w:rsidR="00B07015" w:rsidRPr="0034198F" w:rsidRDefault="00B07015" w:rsidP="00B07015">
      <w:pPr>
        <w:pStyle w:val="ROMANOS"/>
        <w:spacing w:after="86"/>
      </w:pPr>
      <w:r w:rsidRPr="0034198F">
        <w:t>VII.</w:t>
      </w:r>
      <w:r w:rsidRPr="0034198F">
        <w:tab/>
        <w:t>Con relación a los representantes de otras organizaciones de profesionales expertos en materia contable, el Consejo decidirá, en su momento, sobre la integración de nuevos miembros, quienes al incorporarse al Comité gozarán de voz y voto en el mismo.</w:t>
      </w:r>
    </w:p>
    <w:p w:rsidR="00B07015" w:rsidRPr="0034198F" w:rsidRDefault="00B07015" w:rsidP="00B07015">
      <w:pPr>
        <w:pStyle w:val="Texto"/>
        <w:spacing w:after="86"/>
      </w:pPr>
      <w:r w:rsidRPr="0034198F">
        <w:t>Todas las notificaciones, comunicaciones o nombramientos que se efectúen para designar a los miembros del Comité deberán constar por escrito y estar suscritas por los funcionarios o profesionistas que cuenten con facultades o capacidad legal para tal efecto.</w:t>
      </w:r>
    </w:p>
    <w:p w:rsidR="00B07015" w:rsidRPr="0034198F" w:rsidRDefault="00B07015" w:rsidP="00B07015">
      <w:pPr>
        <w:pStyle w:val="Texto"/>
        <w:spacing w:after="86"/>
      </w:pPr>
      <w:r w:rsidRPr="0034198F">
        <w:rPr>
          <w:b/>
        </w:rPr>
        <w:t>Regla 5.-</w:t>
      </w:r>
      <w:r w:rsidRPr="0034198F">
        <w:t xml:space="preserve"> Los miembros del Comité que representan a la CPFF serán renovados de acuerdo a lo previsto en el artículo 20 de la Ley de Coordinación Fiscal.</w:t>
      </w:r>
    </w:p>
    <w:p w:rsidR="00B07015" w:rsidRPr="0034198F" w:rsidRDefault="00B07015" w:rsidP="00B07015">
      <w:pPr>
        <w:pStyle w:val="Texto"/>
        <w:spacing w:after="86"/>
      </w:pPr>
      <w:r w:rsidRPr="0034198F">
        <w:rPr>
          <w:b/>
        </w:rPr>
        <w:t>Regla 6.-</w:t>
      </w:r>
      <w:r w:rsidRPr="0034198F">
        <w:t xml:space="preserve"> Los ocho representantes de los municipios serán sustituidos cada dos años, conforme a lo establecido en la regla anterior y a lo dispuesto en el numeral II de la Regla 4 de las Reglas.</w:t>
      </w:r>
    </w:p>
    <w:p w:rsidR="00B07015" w:rsidRPr="0034198F" w:rsidRDefault="00B07015" w:rsidP="00B07015">
      <w:pPr>
        <w:pStyle w:val="Texto"/>
        <w:spacing w:after="86"/>
      </w:pPr>
      <w:r w:rsidRPr="0034198F">
        <w:t>Tratándose del representante de las entidades estatales de fiscalización, será sustituido en el mes de enero de cada tres años conforme a lo establecido en el numeral IV de la Regla 4 de las Reglas.</w:t>
      </w:r>
    </w:p>
    <w:p w:rsidR="00B07015" w:rsidRPr="0034198F" w:rsidRDefault="00B07015" w:rsidP="00B07015">
      <w:pPr>
        <w:pStyle w:val="Texto"/>
        <w:spacing w:after="86"/>
      </w:pPr>
      <w:r w:rsidRPr="0034198F">
        <w:rPr>
          <w:b/>
        </w:rPr>
        <w:t>Regla 7.-</w:t>
      </w:r>
      <w:r w:rsidRPr="0034198F">
        <w:t xml:space="preserve"> Todos los integrantes del Comité podrán ser suplidos como miembros del mismo, por quienes ocupen el puesto inmediato inferior al suyo en la materia o en su caso a quien éste designe, debiendo informar de ello al Secretario Técnico del Consejo.</w:t>
      </w:r>
    </w:p>
    <w:p w:rsidR="00B07015" w:rsidRPr="0034198F" w:rsidRDefault="00B07015" w:rsidP="00B07015">
      <w:pPr>
        <w:pStyle w:val="Texto"/>
        <w:spacing w:after="86"/>
      </w:pPr>
      <w:r w:rsidRPr="0034198F">
        <w:t>Los representantes deberán contar con el cargo de Dirección de Contabilidad Gubernamental, de Dirección de Armonización Contable o su equivalente.</w:t>
      </w:r>
    </w:p>
    <w:p w:rsidR="00B07015" w:rsidRPr="0034198F" w:rsidRDefault="00B07015" w:rsidP="00B07015">
      <w:pPr>
        <w:pStyle w:val="Texto"/>
        <w:spacing w:after="86"/>
      </w:pPr>
      <w:r w:rsidRPr="0034198F">
        <w:rPr>
          <w:b/>
        </w:rPr>
        <w:t>Regla 8.-</w:t>
      </w:r>
      <w:r w:rsidRPr="0034198F">
        <w:t xml:space="preserve"> El Coordinador de la CPFF fungirá como el Enlace del Comité y el representante del Instituto para el Desarrollo Técnico de las Haciendas Públicas, como el Secretario de Actas de dicho cuerpo colegiado.</w:t>
      </w:r>
    </w:p>
    <w:p w:rsidR="00B07015" w:rsidRPr="0034198F" w:rsidRDefault="00B07015" w:rsidP="00B07015">
      <w:pPr>
        <w:pStyle w:val="Texto"/>
        <w:spacing w:after="86"/>
      </w:pPr>
      <w:r w:rsidRPr="0034198F">
        <w:rPr>
          <w:b/>
        </w:rPr>
        <w:t>Regla 9.-</w:t>
      </w:r>
      <w:r w:rsidRPr="0034198F">
        <w:t xml:space="preserve"> Los miembros del Comité podrán hacerse acompañar a las sesiones de trabajo por los funcionarios que en calidad de asesores designen.</w:t>
      </w:r>
    </w:p>
    <w:p w:rsidR="00B07015" w:rsidRPr="0034198F" w:rsidRDefault="00B07015" w:rsidP="00B07015">
      <w:pPr>
        <w:pStyle w:val="Texto"/>
        <w:spacing w:after="86"/>
      </w:pPr>
      <w:r w:rsidRPr="0034198F">
        <w:rPr>
          <w:b/>
        </w:rPr>
        <w:t>Regla 10-</w:t>
      </w:r>
      <w:r w:rsidRPr="0034198F">
        <w:t xml:space="preserve"> Podrán asistir a las sesiones de trabajo aquellos funcionarios públicos que por su reconocida experiencia en determinados temas, el Comité invite de forma expresa, quienes tendrán derecho a voz pero no a voto.</w:t>
      </w:r>
    </w:p>
    <w:p w:rsidR="00B07015" w:rsidRPr="0034198F" w:rsidRDefault="00B07015" w:rsidP="00B07015">
      <w:pPr>
        <w:pStyle w:val="Texto"/>
        <w:spacing w:after="86"/>
      </w:pPr>
      <w:r w:rsidRPr="0034198F">
        <w:rPr>
          <w:b/>
        </w:rPr>
        <w:t>Regla 11.-</w:t>
      </w:r>
      <w:r w:rsidRPr="0034198F">
        <w:t xml:space="preserve"> El Secretario Técnico del Consejo y el titular de la unidad administrativa de la Secretaría de Hacienda responsable de la coordinación con las entidades federativas, podrán asistir a las reuniones de trabajo del Comité como invitados especiales permanentes.</w:t>
      </w:r>
    </w:p>
    <w:p w:rsidR="00B07015" w:rsidRPr="0034198F" w:rsidRDefault="00B07015" w:rsidP="00B07015">
      <w:pPr>
        <w:pStyle w:val="Texto"/>
        <w:spacing w:after="86"/>
        <w:ind w:firstLine="0"/>
        <w:jc w:val="center"/>
        <w:rPr>
          <w:b/>
          <w:caps/>
        </w:rPr>
      </w:pPr>
      <w:r w:rsidRPr="0034198F">
        <w:rPr>
          <w:b/>
          <w:caps/>
        </w:rPr>
        <w:t>CAPÍTULO III</w:t>
      </w:r>
    </w:p>
    <w:p w:rsidR="00B07015" w:rsidRPr="0034198F" w:rsidRDefault="00B07015" w:rsidP="00B07015">
      <w:pPr>
        <w:pStyle w:val="Texto"/>
        <w:spacing w:after="86"/>
        <w:ind w:firstLine="0"/>
        <w:jc w:val="center"/>
        <w:rPr>
          <w:b/>
          <w:caps/>
        </w:rPr>
      </w:pPr>
      <w:r w:rsidRPr="0034198F">
        <w:rPr>
          <w:b/>
          <w:caps/>
        </w:rPr>
        <w:t>DE LAS ATRIBUCIONES DEL ENLACE</w:t>
      </w:r>
    </w:p>
    <w:p w:rsidR="00B07015" w:rsidRPr="0034198F" w:rsidRDefault="00B07015" w:rsidP="00B07015">
      <w:pPr>
        <w:pStyle w:val="Texto"/>
        <w:spacing w:after="86"/>
      </w:pPr>
      <w:r w:rsidRPr="0034198F">
        <w:rPr>
          <w:b/>
        </w:rPr>
        <w:t>Regla 12.-</w:t>
      </w:r>
      <w:r w:rsidRPr="0034198F">
        <w:t xml:space="preserve"> Serán atribuciones del Enlace:</w:t>
      </w:r>
    </w:p>
    <w:p w:rsidR="00B07015" w:rsidRPr="0034198F" w:rsidRDefault="00B07015" w:rsidP="00B07015">
      <w:pPr>
        <w:pStyle w:val="ROMANOS"/>
        <w:spacing w:after="86"/>
      </w:pPr>
      <w:r w:rsidRPr="0034198F">
        <w:t>i.</w:t>
      </w:r>
      <w:r w:rsidRPr="0034198F">
        <w:tab/>
        <w:t>Fungir como vínculo entre el Comité y el Consejo;</w:t>
      </w:r>
    </w:p>
    <w:p w:rsidR="00B07015" w:rsidRPr="0034198F" w:rsidRDefault="00B07015" w:rsidP="00B07015">
      <w:pPr>
        <w:pStyle w:val="ROMANOS"/>
        <w:spacing w:after="86"/>
      </w:pPr>
      <w:r w:rsidRPr="0034198F">
        <w:t>ii.</w:t>
      </w:r>
      <w:r w:rsidRPr="0034198F">
        <w:tab/>
        <w:t>Preparar la correspondiente agenda de trabajo de las reuniones del Comité;</w:t>
      </w:r>
    </w:p>
    <w:p w:rsidR="00B07015" w:rsidRPr="0034198F" w:rsidRDefault="00B07015" w:rsidP="00B07015">
      <w:pPr>
        <w:pStyle w:val="ROMANOS"/>
        <w:spacing w:after="86"/>
      </w:pPr>
      <w:r w:rsidRPr="0034198F">
        <w:t>iii.</w:t>
      </w:r>
      <w:r w:rsidRPr="0034198F">
        <w:tab/>
        <w:t>Coordinar el desarrollo de las reuniones;</w:t>
      </w:r>
    </w:p>
    <w:p w:rsidR="00B07015" w:rsidRPr="0034198F" w:rsidRDefault="00B07015" w:rsidP="00B07015">
      <w:pPr>
        <w:pStyle w:val="ROMANOS"/>
        <w:spacing w:after="86"/>
      </w:pPr>
      <w:r w:rsidRPr="0034198F">
        <w:t>iv.</w:t>
      </w:r>
      <w:r w:rsidRPr="0034198F">
        <w:tab/>
        <w:t>Dar curso a los asuntos que reciba, y</w:t>
      </w:r>
    </w:p>
    <w:p w:rsidR="00B07015" w:rsidRPr="0034198F" w:rsidRDefault="00B07015" w:rsidP="00B07015">
      <w:pPr>
        <w:pStyle w:val="ROMANOS"/>
        <w:spacing w:after="86"/>
      </w:pPr>
      <w:r w:rsidRPr="0034198F">
        <w:t>v.</w:t>
      </w:r>
      <w:r w:rsidRPr="0034198F">
        <w:tab/>
        <w:t>Preparar el informe de actividades del Comité.</w:t>
      </w:r>
    </w:p>
    <w:p w:rsidR="00B07015" w:rsidRPr="0034198F" w:rsidRDefault="00B07015" w:rsidP="00B07015">
      <w:pPr>
        <w:pStyle w:val="Texto"/>
        <w:spacing w:after="86"/>
        <w:ind w:firstLine="0"/>
        <w:jc w:val="center"/>
        <w:rPr>
          <w:b/>
          <w:caps/>
        </w:rPr>
      </w:pPr>
      <w:r w:rsidRPr="0034198F">
        <w:rPr>
          <w:b/>
          <w:caps/>
        </w:rPr>
        <w:t>CAPÍTULO IV</w:t>
      </w:r>
    </w:p>
    <w:p w:rsidR="00B07015" w:rsidRPr="0034198F" w:rsidRDefault="00B07015" w:rsidP="00B07015">
      <w:pPr>
        <w:pStyle w:val="Texto"/>
        <w:spacing w:after="86"/>
        <w:ind w:firstLine="0"/>
        <w:jc w:val="center"/>
        <w:rPr>
          <w:b/>
          <w:caps/>
        </w:rPr>
      </w:pPr>
      <w:r w:rsidRPr="0034198F">
        <w:rPr>
          <w:b/>
          <w:caps/>
        </w:rPr>
        <w:t>DE LA EMISIÓN DE OPINIONES</w:t>
      </w:r>
    </w:p>
    <w:p w:rsidR="00B07015" w:rsidRPr="0034198F" w:rsidRDefault="00B07015" w:rsidP="00B07015">
      <w:pPr>
        <w:pStyle w:val="Texto"/>
        <w:spacing w:after="86"/>
      </w:pPr>
      <w:r w:rsidRPr="0034198F">
        <w:rPr>
          <w:b/>
        </w:rPr>
        <w:t>Regla 13.-</w:t>
      </w:r>
      <w:r w:rsidRPr="0034198F">
        <w:t xml:space="preserve"> La emisión de las opiniones que el Secretario Técnico del Consejo solicite al Comité se sujetará a lo dispuesto en la presente regla.</w:t>
      </w:r>
    </w:p>
    <w:p w:rsidR="00B07015" w:rsidRPr="0034198F" w:rsidRDefault="00B07015" w:rsidP="00B07015">
      <w:pPr>
        <w:pStyle w:val="Texto"/>
        <w:spacing w:after="86"/>
      </w:pPr>
      <w:r w:rsidRPr="0034198F">
        <w:t>El Secretario Técnico del Consejo deberá enviar el proyecto para opinión al Enlace del Comité, el cual distribuirá la documentación correspondiente a cada uno de los miembros del mismo para que la analicen y emitan su opinión.</w:t>
      </w:r>
    </w:p>
    <w:p w:rsidR="00B07015" w:rsidRPr="0034198F" w:rsidRDefault="00B07015" w:rsidP="00B07015">
      <w:pPr>
        <w:pStyle w:val="Texto"/>
        <w:spacing w:line="226" w:lineRule="exact"/>
      </w:pPr>
      <w:r w:rsidRPr="0034198F">
        <w:lastRenderedPageBreak/>
        <w:t>Para efectos de lo anterior, el Comité podrá crear subcomités para el análisis de los proyectos. Para la creación de cada subcomité se requerirá la aprobación por mayoría simple de los miembros del Comité presentes en la reunión.</w:t>
      </w:r>
    </w:p>
    <w:p w:rsidR="00B07015" w:rsidRPr="0034198F" w:rsidRDefault="00B07015" w:rsidP="00B07015">
      <w:pPr>
        <w:pStyle w:val="Texto"/>
        <w:spacing w:line="226" w:lineRule="exact"/>
      </w:pPr>
      <w:r w:rsidRPr="0034198F">
        <w:t>Si el trámite de la solicitud de opinión no es urgente, el Comité contará con un máximo de 30 días naturales para rendir su opinión, contados a partir de la recepción del proyecto.</w:t>
      </w:r>
    </w:p>
    <w:p w:rsidR="00B07015" w:rsidRPr="0034198F" w:rsidRDefault="00B07015" w:rsidP="00B07015">
      <w:pPr>
        <w:pStyle w:val="Texto"/>
        <w:spacing w:line="226" w:lineRule="exact"/>
      </w:pPr>
      <w:r w:rsidRPr="0034198F">
        <w:t>En caso de que la solicitud de opinión sea urgente, el Comité contará con un plazo máximo de 10 días naturales para emitir su opinión, contados a partir de la recepción del proyecto.</w:t>
      </w:r>
    </w:p>
    <w:p w:rsidR="00B07015" w:rsidRPr="0034198F" w:rsidRDefault="00B07015" w:rsidP="00B07015">
      <w:pPr>
        <w:pStyle w:val="Texto"/>
        <w:spacing w:line="226" w:lineRule="exact"/>
      </w:pPr>
      <w:r w:rsidRPr="0034198F">
        <w:t>Una vez distribuido el proyecto, los miembros del Comité prepararán su opinión y la remitirán al Enlace. Con base en las opiniones de los miembros del Comité, el Enlace preparará un proyecto de opinión conjunta. Dicho proyecto será sometido a discusión de los miembros del Comité con el fin de lograr acuerdos sobre su contenido. En todos los casos se procurará obtener una opinión conjunta avalada por consenso. Sólo en caso de no poder obtener un consenso, el Enlace remitirá la opinión conjunta al Secretario Técnico del Consejo una vez que la mitad de los miembros más uno del Comité presentes en caso de reunión presencial o presentes a través del foro electrónico que se disponga para tal efecto, voten a favor de la opinión conjunta. Lo anterior, sin perjuicio de que puedan anexarse posiciones en lo particular.</w:t>
      </w:r>
    </w:p>
    <w:p w:rsidR="00B07015" w:rsidRPr="0034198F" w:rsidRDefault="00B07015" w:rsidP="00B07015">
      <w:pPr>
        <w:pStyle w:val="Texto"/>
        <w:spacing w:line="226" w:lineRule="exact"/>
      </w:pPr>
      <w:r w:rsidRPr="0034198F">
        <w:t>La distribución entre los miembros del Comité y la recopilación de opiniones por parte del Enlace podrá realizarse mediante medios electrónicos de comunicación, a menos que el Enlace o la mayoría simple de los miembros del Comité decidan reunirse presencialmente para tales efectos.</w:t>
      </w:r>
    </w:p>
    <w:p w:rsidR="00B07015" w:rsidRPr="0034198F" w:rsidRDefault="00B07015" w:rsidP="00B07015">
      <w:pPr>
        <w:pStyle w:val="Texto"/>
        <w:spacing w:line="226" w:lineRule="exact"/>
      </w:pPr>
      <w:r w:rsidRPr="0034198F">
        <w:t>El Enlace del Comité a través del Secretario de Actas llevará un seguimiento de los acuerdos, comisiones, encargos y solicitudes propuestos por el Secretario Técnico del Consejo a los miembros del Comité o las efectuadas por sus propios miembros.</w:t>
      </w:r>
    </w:p>
    <w:p w:rsidR="00B07015" w:rsidRPr="0034198F" w:rsidRDefault="00B07015" w:rsidP="00B07015">
      <w:pPr>
        <w:pStyle w:val="Texto"/>
        <w:spacing w:line="226" w:lineRule="exact"/>
        <w:ind w:firstLine="0"/>
        <w:jc w:val="center"/>
        <w:rPr>
          <w:b/>
          <w:caps/>
        </w:rPr>
      </w:pPr>
      <w:r w:rsidRPr="0034198F">
        <w:rPr>
          <w:b/>
          <w:caps/>
        </w:rPr>
        <w:t>CAPÍTULO V</w:t>
      </w:r>
    </w:p>
    <w:p w:rsidR="00B07015" w:rsidRPr="0034198F" w:rsidRDefault="00B07015" w:rsidP="00B07015">
      <w:pPr>
        <w:pStyle w:val="Texto"/>
        <w:spacing w:line="226" w:lineRule="exact"/>
        <w:ind w:firstLine="0"/>
        <w:jc w:val="center"/>
        <w:rPr>
          <w:b/>
          <w:caps/>
        </w:rPr>
      </w:pPr>
      <w:r w:rsidRPr="0034198F">
        <w:rPr>
          <w:b/>
          <w:caps/>
        </w:rPr>
        <w:t>DE LA CREACIÓN O MODIFICACIÓN DE NORMAS</w:t>
      </w:r>
    </w:p>
    <w:p w:rsidR="00B07015" w:rsidRPr="0034198F" w:rsidRDefault="00B07015" w:rsidP="00B07015">
      <w:pPr>
        <w:pStyle w:val="Texto"/>
        <w:spacing w:line="226" w:lineRule="exact"/>
      </w:pPr>
      <w:r w:rsidRPr="0034198F">
        <w:rPr>
          <w:b/>
        </w:rPr>
        <w:t>Regla 14.-</w:t>
      </w:r>
      <w:r w:rsidRPr="0034198F">
        <w:t xml:space="preserve"> Cuando los miembros del Comité estimen oportuno la creación de nuevas normas o juzguen necesario modificar las existentes podrán elaborar un proyecto de creación y/o modificación de normas. El Enlace buscará que todos los proyectos sean avalados por todos los miembros del Comité. En el caso de que no se logre el consenso, dicho proyecto será enviado al Secretario Técnico del Consejo únicamente si es apoyado por mayoría simple de los miembros del Comité que se encuentren en la reunión presencial o participen a través del foro electrónico, en caso de empate el Enlace del Comité tendrá el voto de calidad.</w:t>
      </w:r>
    </w:p>
    <w:p w:rsidR="00B07015" w:rsidRPr="0034198F" w:rsidRDefault="00B07015" w:rsidP="00B07015">
      <w:pPr>
        <w:pStyle w:val="Texto"/>
        <w:spacing w:line="226" w:lineRule="exact"/>
      </w:pPr>
      <w:r w:rsidRPr="0034198F">
        <w:t>El proyecto será enviado por el Enlace del Comité al Secretario Técnico del Consejo para que éste lo someta a consideración y, en su caso, aprobación del Consejo conforme al procedimiento establecido en la Ley.</w:t>
      </w:r>
    </w:p>
    <w:p w:rsidR="00B07015" w:rsidRPr="0034198F" w:rsidRDefault="00B07015" w:rsidP="00B07015">
      <w:pPr>
        <w:pStyle w:val="Texto"/>
        <w:spacing w:line="226" w:lineRule="exact"/>
      </w:pPr>
      <w:r w:rsidRPr="0034198F">
        <w:rPr>
          <w:b/>
        </w:rPr>
        <w:t>Regla 15.-</w:t>
      </w:r>
      <w:r w:rsidRPr="0034198F">
        <w:t xml:space="preserve"> Para elaborar un proyecto de modificación a las presentes Reglas será necesario el consenso de al menos dos tercios de los miembros del Comité. Una vez cumplido lo anterior, el Enlace remitirá el proyecto al Consejo para su emisión.</w:t>
      </w:r>
    </w:p>
    <w:p w:rsidR="00B07015" w:rsidRPr="0034198F" w:rsidRDefault="00B07015" w:rsidP="00B07015">
      <w:pPr>
        <w:pStyle w:val="Texto"/>
        <w:spacing w:line="226" w:lineRule="exact"/>
        <w:ind w:firstLine="0"/>
        <w:jc w:val="center"/>
        <w:rPr>
          <w:b/>
          <w:caps/>
        </w:rPr>
      </w:pPr>
      <w:r w:rsidRPr="0034198F">
        <w:rPr>
          <w:b/>
          <w:caps/>
        </w:rPr>
        <w:t>CAPÍTULO VI</w:t>
      </w:r>
    </w:p>
    <w:p w:rsidR="00B07015" w:rsidRPr="0034198F" w:rsidRDefault="00B07015" w:rsidP="00B07015">
      <w:pPr>
        <w:pStyle w:val="Texto"/>
        <w:spacing w:line="226" w:lineRule="exact"/>
        <w:ind w:firstLine="0"/>
        <w:jc w:val="center"/>
        <w:rPr>
          <w:b/>
          <w:caps/>
        </w:rPr>
      </w:pPr>
      <w:r w:rsidRPr="0034198F">
        <w:rPr>
          <w:b/>
          <w:caps/>
        </w:rPr>
        <w:t>DEL TRABAJO Y SESIONES DEL COMITÉ</w:t>
      </w:r>
    </w:p>
    <w:p w:rsidR="00B07015" w:rsidRPr="0034198F" w:rsidRDefault="00B07015" w:rsidP="00B07015">
      <w:pPr>
        <w:pStyle w:val="Texto"/>
        <w:spacing w:line="226" w:lineRule="exact"/>
      </w:pPr>
      <w:r w:rsidRPr="0034198F">
        <w:rPr>
          <w:b/>
        </w:rPr>
        <w:t>Regla 16.-</w:t>
      </w:r>
      <w:r w:rsidRPr="0034198F">
        <w:t xml:space="preserve"> Los miembros del Comité podrán realizar sus funciones mediante medios electrónicos, por lo que los correos electrónicos y comunicaciones de naturaleza similar tienen el valor de un documento impreso debidamente suscrito por el remitente.</w:t>
      </w:r>
    </w:p>
    <w:p w:rsidR="00B07015" w:rsidRPr="0034198F" w:rsidRDefault="00B07015" w:rsidP="00B07015">
      <w:pPr>
        <w:pStyle w:val="Texto"/>
        <w:spacing w:line="226" w:lineRule="exact"/>
      </w:pPr>
      <w:r w:rsidRPr="0034198F">
        <w:rPr>
          <w:b/>
        </w:rPr>
        <w:t>Regla 17.-</w:t>
      </w:r>
      <w:r w:rsidRPr="0034198F">
        <w:t xml:space="preserve"> El Comité se reunirá de manera ordinaria cuando menos dos veces al año, pudiendo ser presencial o mediante el uso de medios o de foros electrónicos que se dispongan para tal efecto.</w:t>
      </w:r>
    </w:p>
    <w:p w:rsidR="00B07015" w:rsidRPr="0034198F" w:rsidRDefault="00B07015" w:rsidP="00B07015">
      <w:pPr>
        <w:pStyle w:val="Texto"/>
        <w:spacing w:line="226" w:lineRule="exact"/>
      </w:pPr>
      <w:r w:rsidRPr="0034198F">
        <w:t>También se podrá reunir en sesiones presenciales extraordinarias únicamente cuando:</w:t>
      </w:r>
    </w:p>
    <w:p w:rsidR="00B07015" w:rsidRPr="0034198F" w:rsidRDefault="00B07015" w:rsidP="00B07015">
      <w:pPr>
        <w:pStyle w:val="ROMANOS"/>
        <w:spacing w:line="226" w:lineRule="exact"/>
      </w:pPr>
      <w:r w:rsidRPr="0034198F">
        <w:t>I.</w:t>
      </w:r>
      <w:r w:rsidRPr="0034198F">
        <w:tab/>
        <w:t>El Enlace del Comité, a su juicio, así lo determine, para lo cual emitirá la convocatoria respectiva; o</w:t>
      </w:r>
    </w:p>
    <w:p w:rsidR="00B07015" w:rsidRPr="0034198F" w:rsidRDefault="00B07015" w:rsidP="00B07015">
      <w:pPr>
        <w:pStyle w:val="ROMANOS"/>
        <w:spacing w:line="226" w:lineRule="exact"/>
      </w:pPr>
      <w:r w:rsidRPr="0034198F">
        <w:t>II.</w:t>
      </w:r>
      <w:r w:rsidRPr="0034198F">
        <w:tab/>
        <w:t>La mayoría simple de los miembros del Comité resuelvan la necesidad de sesionar para tratar cualquier tema, en cuyo caso solicitarán al Enlace del Comité que realice la convocatoria respectiva.</w:t>
      </w:r>
    </w:p>
    <w:p w:rsidR="00B07015" w:rsidRPr="0034198F" w:rsidRDefault="00B07015" w:rsidP="00B07015">
      <w:pPr>
        <w:pStyle w:val="Texto"/>
        <w:spacing w:line="226" w:lineRule="exact"/>
      </w:pPr>
      <w:r w:rsidRPr="0034198F">
        <w:t>La Convocatoria para la reunión del Comité deberá ser remitida, al menos, con 10 días naturales de anticipación a la realización de la reunión, y deberá contener el lugar, la fecha y la hora de la celebración de la reunión en primera convocatoria y treinta minutos después la segunda convocatoria, debiendo enviar a los integrantes del Comité, bien sea en forma documental o electrónica, el orden del día y los documentos para opinión que deba analizar el Comité en la reunión que corresponda.</w:t>
      </w:r>
    </w:p>
    <w:p w:rsidR="00B07015" w:rsidRPr="0034198F" w:rsidRDefault="00B07015" w:rsidP="00B07015">
      <w:pPr>
        <w:pStyle w:val="Texto"/>
        <w:spacing w:after="96"/>
      </w:pPr>
      <w:r w:rsidRPr="0034198F">
        <w:lastRenderedPageBreak/>
        <w:t>Existe quórum para realizar las sesiones cuando en primera convocatoria se encuentren presentes en la reunión o se pronuncien a través de medios electrónicos cuando menos la mitad más uno de los miembros y en segunda convocatoria con los que estén presentes.</w:t>
      </w:r>
    </w:p>
    <w:p w:rsidR="00B07015" w:rsidRPr="0034198F" w:rsidRDefault="00B07015" w:rsidP="00B07015">
      <w:pPr>
        <w:pStyle w:val="Texto"/>
        <w:spacing w:after="96"/>
      </w:pPr>
      <w:r w:rsidRPr="0034198F">
        <w:t>Tratándose de pronunciamientos a través de medios electrónicos, estos deberán realizarse antes de la fecha señalada por el Enlace para el cierre de opiniones. El número de votos o abstenciones emitidos por medios electrónicos se consideraran equivalentes a los emitidos en una reunión presencial.</w:t>
      </w:r>
    </w:p>
    <w:p w:rsidR="00B07015" w:rsidRPr="0034198F" w:rsidRDefault="00B07015" w:rsidP="00B07015">
      <w:pPr>
        <w:pStyle w:val="Texto"/>
        <w:spacing w:after="96"/>
      </w:pPr>
      <w:r w:rsidRPr="0034198F">
        <w:rPr>
          <w:b/>
        </w:rPr>
        <w:t>Regla 18.-</w:t>
      </w:r>
      <w:r w:rsidRPr="0034198F">
        <w:t xml:space="preserve"> Las sesiones del Comité se harán constar en actas elaboradas por el Secretario de Actas del Comité, las cuales deberán suscribirse por los miembros que participaron en ellas y enviarse al Consejo para su publicación en la página de Internet dentro de los cinco días hábiles posteriores a su elaboración.</w:t>
      </w:r>
    </w:p>
    <w:p w:rsidR="00B07015" w:rsidRPr="0034198F" w:rsidRDefault="00B07015" w:rsidP="00B07015">
      <w:pPr>
        <w:pStyle w:val="Texto"/>
        <w:spacing w:after="96"/>
      </w:pPr>
      <w:r w:rsidRPr="0034198F">
        <w:rPr>
          <w:b/>
        </w:rPr>
        <w:t>Regla 19.-</w:t>
      </w:r>
      <w:r w:rsidRPr="0034198F">
        <w:t xml:space="preserve"> En las actas de las sesiones del Comité deberá hacerse constar, al menos, lo siguiente:</w:t>
      </w:r>
    </w:p>
    <w:p w:rsidR="00B07015" w:rsidRPr="0034198F" w:rsidRDefault="00B07015" w:rsidP="00B07015">
      <w:pPr>
        <w:pStyle w:val="ROMANOS"/>
        <w:spacing w:after="96"/>
      </w:pPr>
      <w:r w:rsidRPr="0034198F">
        <w:t>i.</w:t>
      </w:r>
      <w:r w:rsidRPr="0034198F">
        <w:tab/>
        <w:t>La lista de asistencia;</w:t>
      </w:r>
    </w:p>
    <w:p w:rsidR="00B07015" w:rsidRPr="0034198F" w:rsidRDefault="00B07015" w:rsidP="00B07015">
      <w:pPr>
        <w:pStyle w:val="ROMANOS"/>
        <w:spacing w:after="96"/>
      </w:pPr>
      <w:r w:rsidRPr="0034198F">
        <w:t>ii.</w:t>
      </w:r>
      <w:r w:rsidRPr="0034198F">
        <w:tab/>
        <w:t>La verificación del quórum legal para sesionar;</w:t>
      </w:r>
    </w:p>
    <w:p w:rsidR="00B07015" w:rsidRPr="0034198F" w:rsidRDefault="00B07015" w:rsidP="00B07015">
      <w:pPr>
        <w:pStyle w:val="ROMANOS"/>
        <w:spacing w:after="96"/>
      </w:pPr>
      <w:r w:rsidRPr="0034198F">
        <w:t>iii.</w:t>
      </w:r>
      <w:r w:rsidRPr="0034198F">
        <w:tab/>
        <w:t>El orden del día;</w:t>
      </w:r>
    </w:p>
    <w:p w:rsidR="00B07015" w:rsidRPr="0034198F" w:rsidRDefault="00B07015" w:rsidP="00B07015">
      <w:pPr>
        <w:pStyle w:val="ROMANOS"/>
        <w:spacing w:after="96"/>
      </w:pPr>
      <w:r w:rsidRPr="0034198F">
        <w:t>iv.</w:t>
      </w:r>
      <w:r w:rsidRPr="0034198F">
        <w:tab/>
        <w:t>Seguimiento de acuerdos;</w:t>
      </w:r>
    </w:p>
    <w:p w:rsidR="00B07015" w:rsidRPr="0034198F" w:rsidRDefault="00B07015" w:rsidP="00B07015">
      <w:pPr>
        <w:pStyle w:val="ROMANOS"/>
        <w:spacing w:after="96"/>
      </w:pPr>
      <w:r w:rsidRPr="0034198F">
        <w:t>v.</w:t>
      </w:r>
      <w:r w:rsidRPr="0034198F">
        <w:tab/>
        <w:t>Presentación de propuestas recibidas a cargo del Secretario de Actas del Comité;</w:t>
      </w:r>
    </w:p>
    <w:p w:rsidR="00B07015" w:rsidRPr="0034198F" w:rsidRDefault="00B07015" w:rsidP="00B07015">
      <w:pPr>
        <w:pStyle w:val="ROMANOS"/>
        <w:spacing w:after="96"/>
      </w:pPr>
      <w:r w:rsidRPr="0034198F">
        <w:t>vi.</w:t>
      </w:r>
      <w:r w:rsidRPr="0034198F">
        <w:tab/>
        <w:t>Explicación de propuestas presentadas a cargo del ponente; discusión y análisis por los miembros del Comité;</w:t>
      </w:r>
    </w:p>
    <w:p w:rsidR="00B07015" w:rsidRPr="0034198F" w:rsidRDefault="00B07015" w:rsidP="00B07015">
      <w:pPr>
        <w:pStyle w:val="ROMANOS"/>
        <w:spacing w:after="96"/>
      </w:pPr>
      <w:r w:rsidRPr="0034198F">
        <w:t>vii.</w:t>
      </w:r>
      <w:r w:rsidRPr="0034198F">
        <w:tab/>
        <w:t>Aprobación o rechazo de propuestas presentadas y en su caso calendarización para su próxima discusión y análisis;</w:t>
      </w:r>
    </w:p>
    <w:p w:rsidR="00B07015" w:rsidRPr="0034198F" w:rsidRDefault="00B07015" w:rsidP="00B07015">
      <w:pPr>
        <w:pStyle w:val="ROMANOS"/>
        <w:spacing w:after="96"/>
      </w:pPr>
      <w:r w:rsidRPr="0034198F">
        <w:t>viii.</w:t>
      </w:r>
      <w:r w:rsidRPr="0034198F">
        <w:tab/>
        <w:t>Resumen de acuerdos tomados a cargo del Secretario de Actas, y</w:t>
      </w:r>
    </w:p>
    <w:p w:rsidR="00B07015" w:rsidRPr="0034198F" w:rsidRDefault="00B07015" w:rsidP="00B07015">
      <w:pPr>
        <w:pStyle w:val="ROMANOS"/>
        <w:spacing w:after="96"/>
      </w:pPr>
      <w:r w:rsidRPr="0034198F">
        <w:t>ix.</w:t>
      </w:r>
      <w:r w:rsidRPr="0034198F">
        <w:tab/>
        <w:t>Asuntos generales.</w:t>
      </w:r>
    </w:p>
    <w:p w:rsidR="00B07015" w:rsidRPr="0034198F" w:rsidRDefault="00B07015" w:rsidP="00B07015">
      <w:pPr>
        <w:pStyle w:val="Texto"/>
        <w:spacing w:after="96"/>
        <w:ind w:firstLine="0"/>
        <w:jc w:val="center"/>
        <w:rPr>
          <w:b/>
          <w:caps/>
        </w:rPr>
      </w:pPr>
      <w:r w:rsidRPr="0034198F">
        <w:rPr>
          <w:b/>
          <w:caps/>
        </w:rPr>
        <w:t>CAPÍTULO VII</w:t>
      </w:r>
    </w:p>
    <w:p w:rsidR="00B07015" w:rsidRPr="0034198F" w:rsidRDefault="00B07015" w:rsidP="00B07015">
      <w:pPr>
        <w:pStyle w:val="Texto"/>
        <w:spacing w:after="96"/>
        <w:ind w:firstLine="0"/>
        <w:jc w:val="center"/>
        <w:rPr>
          <w:b/>
          <w:caps/>
        </w:rPr>
      </w:pPr>
      <w:r w:rsidRPr="0034198F">
        <w:rPr>
          <w:b/>
          <w:caps/>
        </w:rPr>
        <w:t>CAPACITACIÓN EN CONTABILIDAD GUBERNAMENTAL</w:t>
      </w:r>
    </w:p>
    <w:p w:rsidR="00B07015" w:rsidRPr="0034198F" w:rsidRDefault="00B07015" w:rsidP="00B07015">
      <w:pPr>
        <w:pStyle w:val="Texto"/>
        <w:spacing w:after="96"/>
      </w:pPr>
      <w:r w:rsidRPr="0034198F">
        <w:rPr>
          <w:b/>
        </w:rPr>
        <w:t xml:space="preserve">Regla 20.- </w:t>
      </w:r>
      <w:r w:rsidRPr="0034198F">
        <w:t>El Comité y/o el Secretario Técnico del Consejo podrán coordinar la preparación y/o realización de actividades o proyectos de capacitación para los usuarios de contabilidad gubernamental que lo necesiten.</w:t>
      </w:r>
    </w:p>
    <w:p w:rsidR="00B07015" w:rsidRPr="0034198F" w:rsidRDefault="00B07015" w:rsidP="00B07015">
      <w:pPr>
        <w:pStyle w:val="Texto"/>
        <w:spacing w:after="96"/>
        <w:ind w:firstLine="0"/>
        <w:jc w:val="center"/>
        <w:rPr>
          <w:b/>
          <w:caps/>
        </w:rPr>
      </w:pPr>
      <w:r w:rsidRPr="0034198F">
        <w:rPr>
          <w:b/>
          <w:caps/>
        </w:rPr>
        <w:t>CAPÍTULO VIII</w:t>
      </w:r>
    </w:p>
    <w:p w:rsidR="00B07015" w:rsidRPr="0034198F" w:rsidRDefault="00B07015" w:rsidP="00B07015">
      <w:pPr>
        <w:pStyle w:val="Texto"/>
        <w:spacing w:after="96"/>
        <w:ind w:firstLine="0"/>
        <w:jc w:val="center"/>
        <w:rPr>
          <w:b/>
          <w:caps/>
        </w:rPr>
      </w:pPr>
      <w:r w:rsidRPr="0034198F">
        <w:rPr>
          <w:b/>
          <w:caps/>
        </w:rPr>
        <w:t>DISPOSICIONES FINALES</w:t>
      </w:r>
    </w:p>
    <w:p w:rsidR="00B07015" w:rsidRPr="0034198F" w:rsidRDefault="00B07015" w:rsidP="00B07015">
      <w:pPr>
        <w:pStyle w:val="Texto"/>
        <w:spacing w:after="96"/>
      </w:pPr>
      <w:r w:rsidRPr="0034198F">
        <w:rPr>
          <w:b/>
        </w:rPr>
        <w:t>Regla 21.-</w:t>
      </w:r>
      <w:r w:rsidRPr="0034198F">
        <w:t xml:space="preserve"> Todo lo relativo a la aplicación, interpretación y lo no previsto en las presentes Reglas será resuelto por el Enlace, siempre y cuando cuente con el apoyo de la mayoría simple de los miembros del Comité.</w:t>
      </w:r>
    </w:p>
    <w:p w:rsidR="00B07015" w:rsidRPr="0034198F" w:rsidRDefault="00B07015" w:rsidP="00B07015">
      <w:pPr>
        <w:pStyle w:val="Texto"/>
        <w:spacing w:after="96"/>
      </w:pPr>
      <w:r w:rsidRPr="0034198F">
        <w:rPr>
          <w:b/>
        </w:rPr>
        <w:t>Regla 22.-</w:t>
      </w:r>
      <w:r w:rsidRPr="0034198F">
        <w:t xml:space="preserve"> Los miembros del Comité no recibirán emolumento alguno por su participación en el mismo y serán responsables de sufragar los gastos inherentes a la función que desempeñan en él.</w:t>
      </w:r>
    </w:p>
    <w:p w:rsidR="00B07015" w:rsidRPr="0034198F" w:rsidRDefault="00B07015" w:rsidP="00B07015">
      <w:pPr>
        <w:pStyle w:val="Texto"/>
        <w:spacing w:after="96"/>
      </w:pPr>
      <w:r w:rsidRPr="0034198F">
        <w:t>En virtud de lo anterior, el Comité no recibirá recursos de ninguna instancia de los gobiernos federal o locales para el desempeño de sus funciones. De igual forma, cuando los miembros del Comité requieran asistir a sesiones de trabajo del mismo, los gastos de viaje correspondientes se realizarán con cargo a las instituciones que representan.</w:t>
      </w:r>
    </w:p>
    <w:p w:rsidR="00B07015" w:rsidRPr="0034198F" w:rsidRDefault="00B07015" w:rsidP="00B07015">
      <w:pPr>
        <w:pStyle w:val="ANOTACION"/>
        <w:spacing w:after="96" w:line="216" w:lineRule="exact"/>
      </w:pPr>
      <w:r w:rsidRPr="0034198F">
        <w:t>TRANSITORIO</w:t>
      </w:r>
    </w:p>
    <w:p w:rsidR="00B07015" w:rsidRPr="0034198F" w:rsidRDefault="00B07015" w:rsidP="00B07015">
      <w:pPr>
        <w:pStyle w:val="Texto"/>
        <w:spacing w:after="96"/>
      </w:pPr>
      <w:r w:rsidRPr="0034198F">
        <w:rPr>
          <w:b/>
        </w:rPr>
        <w:t>ÚNICO.-</w:t>
      </w:r>
      <w:r w:rsidRPr="0034198F">
        <w:t xml:space="preserve"> La presente Reforma entrará en vigor al día siguiente de su publicación en el Diario Oficial de la Federación.</w:t>
      </w:r>
    </w:p>
    <w:p w:rsidR="00B07015" w:rsidRPr="0034198F" w:rsidRDefault="00B07015" w:rsidP="00B07015">
      <w:pPr>
        <w:pStyle w:val="Texto"/>
        <w:spacing w:after="96"/>
      </w:pPr>
      <w:r w:rsidRPr="0034198F">
        <w:t xml:space="preserve">En la Ciudad de México, siendo las catorce treinta horas del día 10 de diciembre del año dos mil quince,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Secretaria Técnica del Consejo Nacional de Armonización Contable, </w:t>
      </w:r>
      <w:r w:rsidRPr="0034198F">
        <w:rPr>
          <w:b/>
        </w:rPr>
        <w:t>HAGO CONSTAR Y CERTIFICO</w:t>
      </w:r>
      <w:r w:rsidRPr="0034198F">
        <w:t xml:space="preserve"> que el documento consistente en 3 fojas útiles, rubricadas y cotejadas, corresponde con el texto de la Reforma a las Reglas de Operación del Comité Consultivo, aprobado por el Consejo Nacional de Armonización Contable, mismo que estuvo a la vista de los integrantes de dicho Consejo en su cuarta reunión celebrada, en segunda convocatoria, el 10 de diciembre del presente año, situación que se certifica para los efectos legales conducentes. Rúbrica.</w:t>
      </w:r>
    </w:p>
    <w:p w:rsidR="00B07015" w:rsidRDefault="00B07015" w:rsidP="00B07015">
      <w:pPr>
        <w:pStyle w:val="Texto"/>
        <w:spacing w:after="96"/>
      </w:pPr>
      <w:r w:rsidRPr="0034198F">
        <w:t xml:space="preserve">La Secretaria Técnica del Consejo Nacional de Armonización Contable, </w:t>
      </w:r>
      <w:r w:rsidRPr="0034198F">
        <w:rPr>
          <w:b/>
        </w:rPr>
        <w:t>María Teresa Castro Corro</w:t>
      </w:r>
      <w:r w:rsidRPr="0034198F">
        <w:t>.- Rúbrica.</w:t>
      </w:r>
    </w:p>
    <w:sectPr w:rsidR="00B07015" w:rsidSect="004E54C0">
      <w:headerReference w:type="even" r:id="rId9"/>
      <w:headerReference w:type="default" r:id="rId10"/>
      <w:pgSz w:w="12240" w:h="15840" w:code="1"/>
      <w:pgMar w:top="1152" w:right="1699" w:bottom="1296" w:left="1699"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15" w:rsidRPr="005C777C" w:rsidRDefault="00B07015" w:rsidP="00B70364">
    <w:pPr>
      <w:pStyle w:val="Fechas"/>
      <w:rPr>
        <w:rFonts w:cs="Times New Roman"/>
      </w:rPr>
    </w:pPr>
    <w:r>
      <w:rPr>
        <w:rFonts w:cs="Times New Roman"/>
      </w:rPr>
      <w:t xml:space="preserve"> </w:t>
    </w:r>
    <w:r w:rsidRPr="005C777C">
      <w:rPr>
        <w:rFonts w:cs="Times New Roman"/>
      </w:rPr>
      <w:t xml:space="preserve">     (Quinta Sección)</w:t>
    </w:r>
    <w:r w:rsidRPr="005C777C">
      <w:rPr>
        <w:rFonts w:cs="Times New Roman"/>
      </w:rPr>
      <w:tab/>
      <w:t>DIARIO OFICIAL</w:t>
    </w:r>
    <w:r w:rsidRPr="005C777C">
      <w:rPr>
        <w:rFonts w:cs="Times New Roman"/>
      </w:rPr>
      <w:tab/>
    </w:r>
    <w:proofErr w:type="gramStart"/>
    <w:r w:rsidRPr="005C777C">
      <w:rPr>
        <w:rFonts w:cs="Times New Roman"/>
      </w:rPr>
      <w:t>Miércoles</w:t>
    </w:r>
    <w:proofErr w:type="gramEnd"/>
    <w:r w:rsidRPr="005C777C">
      <w:rPr>
        <w:rFonts w:cs="Times New Roman"/>
      </w:rPr>
      <w:t xml:space="preserve"> 23 de diciembre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15" w:rsidRPr="005C777C" w:rsidRDefault="00B07015" w:rsidP="00B70364">
    <w:pPr>
      <w:pStyle w:val="Fechas"/>
      <w:rPr>
        <w:rFonts w:cs="Times New Roman"/>
      </w:rPr>
    </w:pPr>
    <w:r w:rsidRPr="005C777C">
      <w:rPr>
        <w:rFonts w:cs="Times New Roman"/>
      </w:rPr>
      <w:t>Miércoles 23 de diciembre de 2015</w:t>
    </w:r>
    <w:r w:rsidRPr="005C777C">
      <w:rPr>
        <w:rFonts w:cs="Times New Roman"/>
      </w:rPr>
      <w:tab/>
      <w:t>DIARIO OFICIAL</w:t>
    </w:r>
    <w:r w:rsidRPr="005C777C">
      <w:rPr>
        <w:rFonts w:cs="Times New Roman"/>
      </w:rPr>
      <w:tab/>
      <w:t xml:space="preserve">(Quinta Sección)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15" w:rsidRPr="00D9224A" w:rsidRDefault="00B07015" w:rsidP="00B70364">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pP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Pr>
        <w:noProof/>
        <w:sz w:val="18"/>
        <w:szCs w:val="18"/>
      </w:rPr>
      <w:t>8</w:t>
    </w:r>
    <w:r w:rsidRPr="00D041E0">
      <w:rPr>
        <w:sz w:val="18"/>
        <w:szCs w:val="18"/>
      </w:rPr>
      <w:fldChar w:fldCharType="end"/>
    </w:r>
    <w:r>
      <w:rPr>
        <w:sz w:val="18"/>
        <w:szCs w:val="18"/>
      </w:rPr>
      <w:t xml:space="preserve">     (Quinta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r w:rsidRPr="00D9224A">
      <w:rPr>
        <w:sz w:val="18"/>
        <w:szCs w:val="18"/>
      </w:rPr>
      <w:t xml:space="preserve"> </w:t>
    </w:r>
    <w:r>
      <w:rPr>
        <w:sz w:val="18"/>
        <w:szCs w:val="18"/>
      </w:rPr>
      <w:t>Miércoles 23 de diciembre de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15" w:rsidRPr="00D041E0" w:rsidRDefault="00B07015">
    <w:pPr>
      <w:pStyle w:val="Encabezado"/>
      <w:framePr w:w="432" w:h="8582" w:hRule="exact" w:hSpace="187" w:wrap="around" w:hAnchor="page" w:x="14789" w:yAlign="center"/>
      <w:pBdr>
        <w:bottom w:val="double" w:sz="6" w:space="1" w:color="auto"/>
      </w:pBdr>
      <w:shd w:val="solid" w:color="FFFFFF" w:fill="FFFFFF"/>
      <w:tabs>
        <w:tab w:val="center" w:pos="4464"/>
        <w:tab w:val="right" w:pos="8582"/>
      </w:tabs>
      <w:spacing w:before="120" w:after="5"/>
      <w:jc w:val="both"/>
      <w:textDirection w:val="tbRl"/>
      <w:rPr>
        <w:sz w:val="18"/>
        <w:szCs w:val="18"/>
      </w:rPr>
    </w:pPr>
    <w:r>
      <w:rPr>
        <w:sz w:val="18"/>
        <w:szCs w:val="18"/>
      </w:rPr>
      <w:t>Miércoles 23 de diciembre de 2015</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t>DIARIO OFICIAL</w:t>
    </w:r>
    <w:r w:rsidRPr="00D041E0">
      <w:rPr>
        <w:sz w:val="18"/>
        <w:szCs w:val="18"/>
      </w:rPr>
      <w:tab/>
    </w:r>
    <w:r>
      <w:rPr>
        <w:sz w:val="18"/>
        <w:szCs w:val="18"/>
      </w:rPr>
      <w:t xml:space="preserve">(Quinta Sección)     </w:t>
    </w:r>
    <w:r w:rsidRPr="00D041E0">
      <w:rPr>
        <w:sz w:val="18"/>
        <w:szCs w:val="18"/>
      </w:rPr>
      <w:fldChar w:fldCharType="begin"/>
    </w:r>
    <w:r w:rsidRPr="00D041E0">
      <w:rPr>
        <w:sz w:val="18"/>
        <w:szCs w:val="18"/>
      </w:rPr>
      <w:instrText xml:space="preserve"> PAGE  \* MERGEFORMAT </w:instrText>
    </w:r>
    <w:r w:rsidRPr="00D041E0">
      <w:rPr>
        <w:sz w:val="18"/>
        <w:szCs w:val="18"/>
      </w:rPr>
      <w:fldChar w:fldCharType="separate"/>
    </w:r>
    <w:r w:rsidR="005936D0">
      <w:rPr>
        <w:noProof/>
        <w:sz w:val="18"/>
        <w:szCs w:val="18"/>
      </w:rPr>
      <w:t>9</w:t>
    </w:r>
    <w:r w:rsidRPr="00D041E0">
      <w:rPr>
        <w:sz w:val="18"/>
        <w:szCs w:val="18"/>
      </w:rPr>
      <w:fldChar w:fldCharType="end"/>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w:rsidR="00B07015" w:rsidRPr="00D9224A" w:rsidRDefault="00B07015" w:rsidP="00B70364">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E7" w:rsidRDefault="005936D0" w:rsidP="00C30D24">
    <w:pPr>
      <w:pStyle w:val="Fechas"/>
    </w:pPr>
    <w:r>
      <w:fldChar w:fldCharType="begin"/>
    </w:r>
    <w:r>
      <w:instrText>PAGE   \* MERGEFORMAT</w:instrText>
    </w:r>
    <w:r>
      <w:fldChar w:fldCharType="separate"/>
    </w:r>
    <w:r>
      <w:rPr>
        <w:noProof/>
      </w:rPr>
      <w:t>14</w:t>
    </w:r>
    <w:r>
      <w:fldChar w:fldCharType="end"/>
    </w:r>
    <w:r>
      <w:t xml:space="preserve">     (Quinta Sección)</w:t>
    </w:r>
    <w:r>
      <w:tab/>
      <w:t>DIARIO OFICIAL</w:t>
    </w:r>
    <w:r>
      <w:tab/>
      <w:t>Miércoles 23 de diciembre de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E7" w:rsidRDefault="005936D0" w:rsidP="00C30D24">
    <w:pPr>
      <w:pStyle w:val="Fechas"/>
    </w:pPr>
    <w:r>
      <w:t>Miércoles 23 de diciembre de 2015</w:t>
    </w:r>
    <w:r>
      <w:tab/>
      <w:t>DIARIO OFICIAL</w:t>
    </w:r>
    <w:r>
      <w:tab/>
    </w:r>
    <w:r>
      <w:t xml:space="preserve">(Quinta Sección)     </w:t>
    </w:r>
    <w:r>
      <w:fldChar w:fldCharType="begin"/>
    </w:r>
    <w:r>
      <w:instrText>PAGE   \* MERGEFORMAT</w:instrText>
    </w:r>
    <w:r>
      <w:fldChar w:fldCharType="separate"/>
    </w:r>
    <w:r>
      <w:rPr>
        <w:noProof/>
      </w:rPr>
      <w:t>15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01"/>
    <w:rsid w:val="005936D0"/>
    <w:rsid w:val="005F7401"/>
    <w:rsid w:val="0079240F"/>
    <w:rsid w:val="00B07015"/>
    <w:rsid w:val="00FF79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07015"/>
    <w:pPr>
      <w:spacing w:after="101" w:line="216" w:lineRule="exact"/>
      <w:ind w:firstLine="288"/>
      <w:jc w:val="both"/>
    </w:pPr>
    <w:rPr>
      <w:rFonts w:ascii="Arial" w:hAnsi="Arial" w:cs="Arial"/>
      <w:sz w:val="18"/>
      <w:szCs w:val="20"/>
    </w:rPr>
  </w:style>
  <w:style w:type="character" w:customStyle="1" w:styleId="TextoCar">
    <w:name w:val="Texto Car"/>
    <w:link w:val="Texto"/>
    <w:locked/>
    <w:rsid w:val="00B07015"/>
    <w:rPr>
      <w:rFonts w:ascii="Arial" w:eastAsia="Times New Roman" w:hAnsi="Arial" w:cs="Arial"/>
      <w:sz w:val="18"/>
      <w:szCs w:val="20"/>
      <w:lang w:val="es-ES" w:eastAsia="es-ES"/>
    </w:rPr>
  </w:style>
  <w:style w:type="paragraph" w:customStyle="1" w:styleId="ROMANOS">
    <w:name w:val="ROMANOS"/>
    <w:basedOn w:val="Normal"/>
    <w:link w:val="ROMANOSCar"/>
    <w:rsid w:val="00B0701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B07015"/>
    <w:rPr>
      <w:rFonts w:ascii="Arial" w:eastAsia="Times New Roman" w:hAnsi="Arial" w:cs="Arial"/>
      <w:sz w:val="18"/>
      <w:szCs w:val="18"/>
      <w:lang w:val="es-ES" w:eastAsia="es-ES"/>
    </w:rPr>
  </w:style>
  <w:style w:type="paragraph" w:customStyle="1" w:styleId="Fechas">
    <w:name w:val="Fechas"/>
    <w:basedOn w:val="Texto"/>
    <w:autoRedefine/>
    <w:rsid w:val="00B0701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07015"/>
    <w:pPr>
      <w:spacing w:before="101" w:after="101" w:line="216" w:lineRule="atLeast"/>
      <w:jc w:val="center"/>
    </w:pPr>
    <w:rPr>
      <w:b/>
      <w:sz w:val="18"/>
      <w:szCs w:val="20"/>
      <w:lang w:val="es-ES_tradnl"/>
    </w:rPr>
  </w:style>
  <w:style w:type="character" w:customStyle="1" w:styleId="ANOTACIONCar">
    <w:name w:val="ANOTACION Car"/>
    <w:link w:val="ANOTACION"/>
    <w:locked/>
    <w:rsid w:val="00B07015"/>
    <w:rPr>
      <w:rFonts w:ascii="Times New Roman" w:eastAsia="Times New Roman" w:hAnsi="Times New Roman" w:cs="Times New Roman"/>
      <w:b/>
      <w:sz w:val="18"/>
      <w:szCs w:val="20"/>
      <w:lang w:val="es-ES_tradnl" w:eastAsia="es-ES"/>
    </w:rPr>
  </w:style>
  <w:style w:type="paragraph" w:customStyle="1" w:styleId="Titulo1">
    <w:name w:val="Titulo 1"/>
    <w:basedOn w:val="Texto"/>
    <w:rsid w:val="00B0701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Encabezado">
    <w:name w:val="header"/>
    <w:basedOn w:val="Normal"/>
    <w:link w:val="EncabezadoCar"/>
    <w:rsid w:val="00B07015"/>
    <w:pPr>
      <w:tabs>
        <w:tab w:val="center" w:pos="4419"/>
        <w:tab w:val="right" w:pos="8838"/>
      </w:tabs>
    </w:pPr>
  </w:style>
  <w:style w:type="character" w:customStyle="1" w:styleId="EncabezadoCar">
    <w:name w:val="Encabezado Car"/>
    <w:basedOn w:val="Fuentedeprrafopredeter"/>
    <w:link w:val="Encabezado"/>
    <w:rsid w:val="00B07015"/>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15"/>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B07015"/>
    <w:pPr>
      <w:spacing w:after="101" w:line="216" w:lineRule="exact"/>
      <w:ind w:firstLine="288"/>
      <w:jc w:val="both"/>
    </w:pPr>
    <w:rPr>
      <w:rFonts w:ascii="Arial" w:hAnsi="Arial" w:cs="Arial"/>
      <w:sz w:val="18"/>
      <w:szCs w:val="20"/>
    </w:rPr>
  </w:style>
  <w:style w:type="character" w:customStyle="1" w:styleId="TextoCar">
    <w:name w:val="Texto Car"/>
    <w:link w:val="Texto"/>
    <w:locked/>
    <w:rsid w:val="00B07015"/>
    <w:rPr>
      <w:rFonts w:ascii="Arial" w:eastAsia="Times New Roman" w:hAnsi="Arial" w:cs="Arial"/>
      <w:sz w:val="18"/>
      <w:szCs w:val="20"/>
      <w:lang w:val="es-ES" w:eastAsia="es-ES"/>
    </w:rPr>
  </w:style>
  <w:style w:type="paragraph" w:customStyle="1" w:styleId="ROMANOS">
    <w:name w:val="ROMANOS"/>
    <w:basedOn w:val="Normal"/>
    <w:link w:val="ROMANOSCar"/>
    <w:rsid w:val="00B07015"/>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B07015"/>
    <w:rPr>
      <w:rFonts w:ascii="Arial" w:eastAsia="Times New Roman" w:hAnsi="Arial" w:cs="Arial"/>
      <w:sz w:val="18"/>
      <w:szCs w:val="18"/>
      <w:lang w:val="es-ES" w:eastAsia="es-ES"/>
    </w:rPr>
  </w:style>
  <w:style w:type="paragraph" w:customStyle="1" w:styleId="Fechas">
    <w:name w:val="Fechas"/>
    <w:basedOn w:val="Texto"/>
    <w:autoRedefine/>
    <w:rsid w:val="00B07015"/>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07015"/>
    <w:pPr>
      <w:spacing w:before="101" w:after="101" w:line="216" w:lineRule="atLeast"/>
      <w:jc w:val="center"/>
    </w:pPr>
    <w:rPr>
      <w:b/>
      <w:sz w:val="18"/>
      <w:szCs w:val="20"/>
      <w:lang w:val="es-ES_tradnl"/>
    </w:rPr>
  </w:style>
  <w:style w:type="character" w:customStyle="1" w:styleId="ANOTACIONCar">
    <w:name w:val="ANOTACION Car"/>
    <w:link w:val="ANOTACION"/>
    <w:locked/>
    <w:rsid w:val="00B07015"/>
    <w:rPr>
      <w:rFonts w:ascii="Times New Roman" w:eastAsia="Times New Roman" w:hAnsi="Times New Roman" w:cs="Times New Roman"/>
      <w:b/>
      <w:sz w:val="18"/>
      <w:szCs w:val="20"/>
      <w:lang w:val="es-ES_tradnl" w:eastAsia="es-ES"/>
    </w:rPr>
  </w:style>
  <w:style w:type="paragraph" w:customStyle="1" w:styleId="Titulo1">
    <w:name w:val="Titulo 1"/>
    <w:basedOn w:val="Texto"/>
    <w:rsid w:val="00B07015"/>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Encabezado">
    <w:name w:val="header"/>
    <w:basedOn w:val="Normal"/>
    <w:link w:val="EncabezadoCar"/>
    <w:rsid w:val="00B07015"/>
    <w:pPr>
      <w:tabs>
        <w:tab w:val="center" w:pos="4419"/>
        <w:tab w:val="right" w:pos="8838"/>
      </w:tabs>
    </w:pPr>
  </w:style>
  <w:style w:type="character" w:customStyle="1" w:styleId="EncabezadoCar">
    <w:name w:val="Encabezado Car"/>
    <w:basedOn w:val="Fuentedeprrafopredeter"/>
    <w:link w:val="Encabezado"/>
    <w:rsid w:val="00B0701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3.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6199</Words>
  <Characters>34098</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2016-03-01T18:00:00Z</dcterms:created>
  <dcterms:modified xsi:type="dcterms:W3CDTF">2016-03-01T18:06:00Z</dcterms:modified>
</cp:coreProperties>
</file>