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709" w:hanging="709"/>
        <w:jc w:val="cente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ESTADOS FINANCIEROS CONSOLIDADOS DEL GOBIERNO ESTATAL</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A continuación se presentan las notas estructuradas y elaboradas a los Estados Financieros Consolidados del Gobierno del Estado de Oaxaca correspondientes al  periodo enero - marzo  de 2021, de conformidad con el artículo 46, fracción I; inciso g), y 49 de la Ley General de Contabilidad Gubernamental, así como a la normatividad emitida por el Consejo Nacional de Armonización Contable (CONAC) y la Ley de Fiscalización Superior y Rendición de Cuentas para el Estado de Oaxaca, con los siguientes apartados:</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Univia Pro Book" w:cs="Univia Pro Book" w:eastAsia="Univia Pro Book" w:hAnsi="Univia Pro Book"/>
          <w:color w:val="000000"/>
          <w:rtl w:val="0"/>
        </w:rPr>
        <w:t xml:space="preserve">Notas de Desglose.</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Univia Pro Book" w:cs="Univia Pro Book" w:eastAsia="Univia Pro Book" w:hAnsi="Univia Pro Book"/>
          <w:color w:val="000000"/>
          <w:rtl w:val="0"/>
        </w:rPr>
        <w:t xml:space="preserve">Notas de Memoria.</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Univia Pro Book" w:cs="Univia Pro Book" w:eastAsia="Univia Pro Book" w:hAnsi="Univia Pro Book"/>
          <w:color w:val="000000"/>
          <w:rtl w:val="0"/>
        </w:rPr>
        <w:t xml:space="preserve">Notas de Gestión Administrativa.</w:t>
      </w:r>
      <w:r w:rsidDel="00000000" w:rsidR="00000000" w:rsidRPr="00000000">
        <w:rPr>
          <w:rtl w:val="0"/>
        </w:rPr>
      </w:r>
    </w:p>
    <w:p w:rsidR="00000000" w:rsidDel="00000000" w:rsidP="00000000" w:rsidRDefault="00000000" w:rsidRPr="00000000" w14:paraId="0000000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0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0D">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Notas de Desglose:</w:t>
      </w:r>
    </w:p>
    <w:p w:rsidR="00000000" w:rsidDel="00000000" w:rsidP="00000000" w:rsidRDefault="00000000" w:rsidRPr="00000000" w14:paraId="0000000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0F">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0">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Al Estado de Situación de Financiera del Gobierno Estatal Consolidado</w:t>
      </w:r>
    </w:p>
    <w:p w:rsidR="00000000" w:rsidDel="00000000" w:rsidP="00000000" w:rsidRDefault="00000000" w:rsidRPr="00000000" w14:paraId="00000011">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2">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3">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Activo</w:t>
      </w:r>
    </w:p>
    <w:p w:rsidR="00000000" w:rsidDel="00000000" w:rsidP="00000000" w:rsidRDefault="00000000" w:rsidRPr="00000000" w14:paraId="0000001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activo se compone de fondos, valores, derechos y bienes cuantificados en términos monetarios, los cuales controla, administra y dispone el Gobierno Estatal para la prestación de servicios públicos, el cual se integra de:</w:t>
      </w:r>
    </w:p>
    <w:p w:rsidR="00000000" w:rsidDel="00000000" w:rsidP="00000000" w:rsidRDefault="00000000" w:rsidRPr="00000000" w14:paraId="0000001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9">
      <w:pPr>
        <w:jc w:val="both"/>
        <w:rPr>
          <w:rFonts w:ascii="Univia Pro Book" w:cs="Univia Pro Book" w:eastAsia="Univia Pro Book" w:hAnsi="Univia Pro Book"/>
          <w:b w:val="1"/>
          <w:u w:val="single"/>
        </w:rPr>
      </w:pPr>
      <w:r w:rsidDel="00000000" w:rsidR="00000000" w:rsidRPr="00000000">
        <w:rPr>
          <w:rFonts w:ascii="Univia Pro Book" w:cs="Univia Pro Book" w:eastAsia="Univia Pro Book" w:hAnsi="Univia Pro Book"/>
          <w:b w:val="1"/>
          <w:u w:val="single"/>
          <w:rtl w:val="0"/>
        </w:rPr>
        <w:t xml:space="preserve">Circulante.</w:t>
      </w:r>
    </w:p>
    <w:p w:rsidR="00000000" w:rsidDel="00000000" w:rsidP="00000000" w:rsidRDefault="00000000" w:rsidRPr="00000000" w14:paraId="0000001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C">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 Efectivo y Equivalentes.</w:t>
      </w:r>
    </w:p>
    <w:p w:rsidR="00000000" w:rsidDel="00000000" w:rsidP="00000000" w:rsidRDefault="00000000" w:rsidRPr="00000000" w14:paraId="0000001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1F">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rubro de efectivo y equivalentes al 31 de marzo  de 2021 comparado con el mismo periodo de 2020,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rsidR="00000000" w:rsidDel="00000000" w:rsidP="00000000" w:rsidRDefault="00000000" w:rsidRPr="00000000" w14:paraId="00000020">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21">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
        <w:tblW w:w="9093.0" w:type="dxa"/>
        <w:jc w:val="left"/>
        <w:tblInd w:w="55.0" w:type="dxa"/>
        <w:tblLayout w:type="fixed"/>
        <w:tblLook w:val="0400"/>
      </w:tblPr>
      <w:tblGrid>
        <w:gridCol w:w="3847"/>
        <w:gridCol w:w="2648"/>
        <w:gridCol w:w="2598"/>
        <w:tblGridChange w:id="0">
          <w:tblGrid>
            <w:gridCol w:w="3847"/>
            <w:gridCol w:w="2648"/>
            <w:gridCol w:w="2598"/>
          </w:tblGrid>
        </w:tblGridChange>
      </w:tblGrid>
      <w:tr>
        <w:trPr>
          <w:cantSplit w:val="0"/>
          <w:trHeight w:val="321"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22">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23">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8" w:val="single"/>
            </w:tcBorders>
            <w:shd w:fill="828282" w:val="clear"/>
            <w:vAlign w:val="center"/>
          </w:tcPr>
          <w:p w:rsidR="00000000" w:rsidDel="00000000" w:rsidP="00000000" w:rsidRDefault="00000000" w:rsidRPr="00000000" w14:paraId="00000024">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21"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5,236,612,413</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2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5,819,379,451</w:t>
            </w:r>
          </w:p>
        </w:tc>
      </w:tr>
      <w:tr>
        <w:trPr>
          <w:cantSplit w:val="0"/>
          <w:trHeight w:val="321"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24,959,375</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2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12,347,958</w:t>
            </w:r>
          </w:p>
        </w:tc>
      </w:tr>
      <w:tr>
        <w:trPr>
          <w:cantSplit w:val="0"/>
          <w:trHeight w:val="321"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B">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68,868,939</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2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56,345,701</w:t>
            </w:r>
          </w:p>
        </w:tc>
      </w:tr>
      <w:tr>
        <w:trPr>
          <w:cantSplit w:val="0"/>
          <w:trHeight w:val="337"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2E">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2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67,682,784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3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28,407,856</w:t>
            </w:r>
          </w:p>
        </w:tc>
      </w:tr>
      <w:tr>
        <w:trPr>
          <w:cantSplit w:val="0"/>
          <w:trHeight w:val="337"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1">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0" w:val="nil"/>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03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5,398,123,510</w:t>
            </w:r>
          </w:p>
        </w:tc>
        <w:tc>
          <w:tcPr>
            <w:tcBorders>
              <w:top w:color="000000" w:space="0" w:sz="8" w:val="single"/>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033">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5,916,480,965</w:t>
            </w:r>
          </w:p>
        </w:tc>
      </w:tr>
    </w:tbl>
    <w:p w:rsidR="00000000" w:rsidDel="00000000" w:rsidP="00000000" w:rsidRDefault="00000000" w:rsidRPr="00000000" w14:paraId="00000034">
      <w:pPr>
        <w:jc w:val="cente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35">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3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2.- Derechos a Recibir Efectivo y Equivalentes</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03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consolidado al 31 de marzo de 2021 comparado con el mismo periodo de 2020,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rsidR="00000000" w:rsidDel="00000000" w:rsidP="00000000" w:rsidRDefault="00000000" w:rsidRPr="00000000" w14:paraId="0000003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3C">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2"/>
        <w:tblW w:w="8958.0" w:type="dxa"/>
        <w:jc w:val="left"/>
        <w:tblInd w:w="55.0" w:type="dxa"/>
        <w:tblLayout w:type="fixed"/>
        <w:tblLook w:val="0400"/>
      </w:tblPr>
      <w:tblGrid>
        <w:gridCol w:w="3790"/>
        <w:gridCol w:w="2609"/>
        <w:gridCol w:w="2559"/>
        <w:tblGridChange w:id="0">
          <w:tblGrid>
            <w:gridCol w:w="3790"/>
            <w:gridCol w:w="2609"/>
            <w:gridCol w:w="2559"/>
          </w:tblGrid>
        </w:tblGridChange>
      </w:tblGrid>
      <w:tr>
        <w:trPr>
          <w:cantSplit w:val="0"/>
          <w:trHeight w:val="329"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3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3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03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29"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0">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8,219,587,896</w:t>
            </w:r>
          </w:p>
        </w:tc>
        <w:tc>
          <w:tcPr>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04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8,168,211,383</w:t>
            </w:r>
          </w:p>
        </w:tc>
      </w:tr>
      <w:tr>
        <w:trPr>
          <w:cantSplit w:val="0"/>
          <w:trHeight w:val="329"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3">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33,005,194</w:t>
            </w:r>
          </w:p>
        </w:tc>
        <w:tc>
          <w:tcPr>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04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20,695,445</w:t>
            </w:r>
          </w:p>
        </w:tc>
      </w:tr>
      <w:tr>
        <w:trPr>
          <w:cantSplit w:val="0"/>
          <w:trHeight w:val="329"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6">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426,792,999</w:t>
            </w:r>
          </w:p>
        </w:tc>
        <w:tc>
          <w:tcPr>
            <w:tcBorders>
              <w:top w:color="000000" w:space="0" w:sz="0" w:val="nil"/>
              <w:left w:color="000000" w:space="0" w:sz="0" w:val="nil"/>
              <w:bottom w:color="000000" w:space="0" w:sz="0" w:val="nil"/>
              <w:right w:color="000000" w:space="0" w:sz="4" w:val="single"/>
            </w:tcBorders>
            <w:shd w:fill="ffffff" w:val="clear"/>
          </w:tcPr>
          <w:p w:rsidR="00000000" w:rsidDel="00000000" w:rsidP="00000000" w:rsidRDefault="00000000" w:rsidRPr="00000000" w14:paraId="0000004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387,407,402</w:t>
            </w:r>
          </w:p>
        </w:tc>
      </w:tr>
      <w:tr>
        <w:trPr>
          <w:cantSplit w:val="0"/>
          <w:trHeight w:val="346"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49">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tcPr>
          <w:p w:rsidR="00000000" w:rsidDel="00000000" w:rsidP="00000000" w:rsidRDefault="00000000" w:rsidRPr="00000000" w14:paraId="0000004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186,519,421</w:t>
            </w:r>
          </w:p>
        </w:tc>
        <w:tc>
          <w:tcPr>
            <w:tcBorders>
              <w:top w:color="000000" w:space="0" w:sz="0" w:val="nil"/>
              <w:left w:color="000000" w:space="0" w:sz="0" w:val="nil"/>
              <w:bottom w:color="000000" w:space="0" w:sz="8" w:val="single"/>
              <w:right w:color="000000" w:space="0" w:sz="4" w:val="single"/>
            </w:tcBorders>
            <w:shd w:fill="ffffff" w:val="clear"/>
          </w:tcPr>
          <w:p w:rsidR="00000000" w:rsidDel="00000000" w:rsidP="00000000" w:rsidRDefault="00000000" w:rsidRPr="00000000" w14:paraId="0000004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151,742,784</w:t>
            </w:r>
          </w:p>
        </w:tc>
      </w:tr>
      <w:tr>
        <w:trPr>
          <w:cantSplit w:val="0"/>
          <w:trHeight w:val="346"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0" w:val="nil"/>
              <w:left w:color="000000" w:space="0" w:sz="0" w:val="nil"/>
              <w:bottom w:color="000000" w:space="0" w:sz="6" w:val="single"/>
              <w:right w:color="000000" w:space="0" w:sz="0" w:val="nil"/>
            </w:tcBorders>
            <w:shd w:fill="ffffff" w:val="clear"/>
          </w:tcPr>
          <w:p w:rsidR="00000000" w:rsidDel="00000000" w:rsidP="00000000" w:rsidRDefault="00000000" w:rsidRPr="00000000" w14:paraId="0000004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8,865,905,510</w:t>
            </w:r>
          </w:p>
        </w:tc>
        <w:tc>
          <w:tcPr>
            <w:tcBorders>
              <w:top w:color="000000" w:space="0" w:sz="0" w:val="nil"/>
              <w:left w:color="000000" w:space="0" w:sz="0" w:val="nil"/>
              <w:bottom w:color="000000" w:space="0" w:sz="6" w:val="single"/>
              <w:right w:color="000000" w:space="0" w:sz="4" w:val="single"/>
            </w:tcBorders>
            <w:shd w:fill="ffffff" w:val="clear"/>
          </w:tcPr>
          <w:p w:rsidR="00000000" w:rsidDel="00000000" w:rsidP="00000000" w:rsidRDefault="00000000" w:rsidRPr="00000000" w14:paraId="0000004E">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8,728,057,014</w:t>
            </w:r>
          </w:p>
        </w:tc>
      </w:tr>
    </w:tbl>
    <w:p w:rsidR="00000000" w:rsidDel="00000000" w:rsidP="00000000" w:rsidRDefault="00000000" w:rsidRPr="00000000" w14:paraId="0000004F">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0">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1">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2">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3">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4">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55">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3.- Derechos a Recibir Bienes y Servicios</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05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5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58">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al 31 de marzo de 2021 en comparación con el mismo periodo del 2020, refleja este rubro consolidado los anticipos otorgados a contratistas para la ejecución de obras en proceso, en bienes propios y en bienes de dominio público por parte de los Poderes Ejecutivo, Legislativo, Judicial y Órganos Autónomos, a través de las dependencias que los conforman, así como, a los anticipos otorgados a proveedores por las compras de muebles e inmuebles, integrado de la siguiente manera:</w:t>
      </w:r>
    </w:p>
    <w:p w:rsidR="00000000" w:rsidDel="00000000" w:rsidP="00000000" w:rsidRDefault="00000000" w:rsidRPr="00000000" w14:paraId="0000005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5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5B">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3"/>
        <w:tblW w:w="8991.0" w:type="dxa"/>
        <w:jc w:val="left"/>
        <w:tblInd w:w="55.0" w:type="dxa"/>
        <w:tblLayout w:type="fixed"/>
        <w:tblLook w:val="0400"/>
      </w:tblPr>
      <w:tblGrid>
        <w:gridCol w:w="3804"/>
        <w:gridCol w:w="2618"/>
        <w:gridCol w:w="2569"/>
        <w:tblGridChange w:id="0">
          <w:tblGrid>
            <w:gridCol w:w="3804"/>
            <w:gridCol w:w="2618"/>
            <w:gridCol w:w="2569"/>
          </w:tblGrid>
        </w:tblGridChange>
      </w:tblGrid>
      <w:tr>
        <w:trPr>
          <w:cantSplit w:val="0"/>
          <w:trHeight w:val="332"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5C">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5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05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3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5F">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193,714,244</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6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123,011,740</w:t>
            </w:r>
          </w:p>
        </w:tc>
      </w:tr>
      <w:tr>
        <w:trPr>
          <w:cantSplit w:val="0"/>
          <w:trHeight w:val="33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62">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62,896,314</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6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85,488,179</w:t>
            </w:r>
            <w:r w:rsidDel="00000000" w:rsidR="00000000" w:rsidRPr="00000000">
              <w:rPr>
                <w:rtl w:val="0"/>
              </w:rPr>
            </w:r>
          </w:p>
        </w:tc>
      </w:tr>
      <w:tr>
        <w:trPr>
          <w:cantSplit w:val="0"/>
          <w:trHeight w:val="332"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6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0</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6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0</w:t>
            </w:r>
          </w:p>
        </w:tc>
      </w:tr>
      <w:tr>
        <w:trPr>
          <w:cantSplit w:val="0"/>
          <w:trHeight w:val="348"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6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6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7,333,810</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06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5,099,898</w:t>
            </w:r>
            <w:r w:rsidDel="00000000" w:rsidR="00000000" w:rsidRPr="00000000">
              <w:rPr>
                <w:rtl w:val="0"/>
              </w:rPr>
            </w:r>
          </w:p>
        </w:tc>
      </w:tr>
      <w:tr>
        <w:trPr>
          <w:cantSplit w:val="0"/>
          <w:trHeight w:val="348"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B">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0" w:val="nil"/>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06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263,944,369</w:t>
            </w:r>
          </w:p>
        </w:tc>
        <w:tc>
          <w:tcPr>
            <w:tcBorders>
              <w:top w:color="000000" w:space="0" w:sz="0" w:val="nil"/>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06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213,599,818</w:t>
            </w:r>
          </w:p>
        </w:tc>
      </w:tr>
    </w:tbl>
    <w:p w:rsidR="00000000" w:rsidDel="00000000" w:rsidP="00000000" w:rsidRDefault="00000000" w:rsidRPr="00000000" w14:paraId="0000006E">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6F">
      <w:pPr>
        <w:jc w:val="both"/>
        <w:rPr>
          <w:rFonts w:ascii="Univia Pro Book" w:cs="Univia Pro Book" w:eastAsia="Univia Pro Book" w:hAnsi="Univia Pro Book"/>
          <w:b w:val="1"/>
          <w:u w:val="single"/>
        </w:rPr>
      </w:pPr>
      <w:r w:rsidDel="00000000" w:rsidR="00000000" w:rsidRPr="00000000">
        <w:rPr>
          <w:rtl w:val="0"/>
        </w:rPr>
      </w:r>
    </w:p>
    <w:p w:rsidR="00000000" w:rsidDel="00000000" w:rsidP="00000000" w:rsidRDefault="00000000" w:rsidRPr="00000000" w14:paraId="00000070">
      <w:pPr>
        <w:jc w:val="both"/>
        <w:rPr>
          <w:rFonts w:ascii="Univia Pro Book" w:cs="Univia Pro Book" w:eastAsia="Univia Pro Book" w:hAnsi="Univia Pro Book"/>
          <w:b w:val="1"/>
          <w:u w:val="single"/>
        </w:rPr>
      </w:pPr>
      <w:r w:rsidDel="00000000" w:rsidR="00000000" w:rsidRPr="00000000">
        <w:rPr>
          <w:rtl w:val="0"/>
        </w:rPr>
      </w:r>
    </w:p>
    <w:p w:rsidR="00000000" w:rsidDel="00000000" w:rsidP="00000000" w:rsidRDefault="00000000" w:rsidRPr="00000000" w14:paraId="00000071">
      <w:pPr>
        <w:jc w:val="both"/>
        <w:rPr>
          <w:rFonts w:ascii="Univia Pro Book" w:cs="Univia Pro Book" w:eastAsia="Univia Pro Book" w:hAnsi="Univia Pro Book"/>
          <w:b w:val="1"/>
          <w:u w:val="single"/>
        </w:rPr>
      </w:pPr>
      <w:r w:rsidDel="00000000" w:rsidR="00000000" w:rsidRPr="00000000">
        <w:rPr>
          <w:rFonts w:ascii="Univia Pro Book" w:cs="Univia Pro Book" w:eastAsia="Univia Pro Book" w:hAnsi="Univia Pro Book"/>
          <w:b w:val="1"/>
          <w:u w:val="single"/>
          <w:rtl w:val="0"/>
        </w:rPr>
        <w:t xml:space="preserve">No Circulante.</w:t>
      </w:r>
    </w:p>
    <w:p w:rsidR="00000000" w:rsidDel="00000000" w:rsidP="00000000" w:rsidRDefault="00000000" w:rsidRPr="00000000" w14:paraId="00000072">
      <w:pPr>
        <w:jc w:val="both"/>
        <w:rPr>
          <w:rFonts w:ascii="Univia Pro Book" w:cs="Univia Pro Book" w:eastAsia="Univia Pro Book" w:hAnsi="Univia Pro Book"/>
          <w:b w:val="1"/>
          <w:u w:val="single"/>
        </w:rPr>
      </w:pPr>
      <w:r w:rsidDel="00000000" w:rsidR="00000000" w:rsidRPr="00000000">
        <w:rPr>
          <w:rtl w:val="0"/>
        </w:rPr>
      </w:r>
    </w:p>
    <w:p w:rsidR="00000000" w:rsidDel="00000000" w:rsidP="00000000" w:rsidRDefault="00000000" w:rsidRPr="00000000" w14:paraId="00000073">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74">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75">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7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4.- Inversiones Financieras a Largo Plazo.</w:t>
      </w:r>
      <w:r w:rsidDel="00000000" w:rsidR="00000000" w:rsidRPr="00000000">
        <w:rPr>
          <w:rtl w:val="0"/>
        </w:rPr>
      </w:r>
    </w:p>
    <w:p w:rsidR="00000000" w:rsidDel="00000000" w:rsidP="00000000" w:rsidRDefault="00000000" w:rsidRPr="00000000" w14:paraId="0000007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consolidado representa los recursos excedentes que el Gobierno Estatal, tiene invertidos en títulos, valores y demás instrumentos financieros, recuperables en un plazo mayor de doce meses y corresponden exclusivamente del Poder Ejecutivo, su saldo al 31 de marzo de 2021 comparado con el mismo periodo del 2020, se muestra a continuación:</w:t>
      </w:r>
    </w:p>
    <w:p w:rsidR="00000000" w:rsidDel="00000000" w:rsidP="00000000" w:rsidRDefault="00000000" w:rsidRPr="00000000" w14:paraId="0000007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7C">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4"/>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7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7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7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0">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963,033,774</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1,258,960,710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3">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4">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963,033,774</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5">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1,258,960,710</w:t>
            </w:r>
          </w:p>
        </w:tc>
      </w:tr>
    </w:tbl>
    <w:p w:rsidR="00000000" w:rsidDel="00000000" w:rsidP="00000000" w:rsidRDefault="00000000" w:rsidRPr="00000000" w14:paraId="00000086">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5.- Bienes Inmuebles, Infraestructura y Construcciones en Proceso.</w:t>
      </w:r>
    </w:p>
    <w:p w:rsidR="00000000" w:rsidDel="00000000" w:rsidP="00000000" w:rsidRDefault="00000000" w:rsidRPr="00000000" w14:paraId="0000008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al 31 de marzo de 2021 comparado con el mismo periodo del 2020, se integra de la siguiente forma:</w:t>
      </w:r>
    </w:p>
    <w:p w:rsidR="00000000" w:rsidDel="00000000" w:rsidP="00000000" w:rsidRDefault="00000000" w:rsidRPr="00000000" w14:paraId="0000008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8C">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5"/>
        <w:tblW w:w="8991.0" w:type="dxa"/>
        <w:jc w:val="left"/>
        <w:tblInd w:w="55.0" w:type="dxa"/>
        <w:tblLayout w:type="fixed"/>
        <w:tblLook w:val="0400"/>
      </w:tblPr>
      <w:tblGrid>
        <w:gridCol w:w="3804"/>
        <w:gridCol w:w="2618"/>
        <w:gridCol w:w="2569"/>
        <w:tblGridChange w:id="0">
          <w:tblGrid>
            <w:gridCol w:w="3804"/>
            <w:gridCol w:w="2618"/>
            <w:gridCol w:w="2569"/>
          </w:tblGrid>
        </w:tblGridChange>
      </w:tblGrid>
      <w:tr>
        <w:trPr>
          <w:cantSplit w:val="0"/>
          <w:trHeight w:val="35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8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8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08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5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0">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9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14,146,756,902</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9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8,187,102,215</w:t>
            </w:r>
          </w:p>
        </w:tc>
      </w:tr>
      <w:tr>
        <w:trPr>
          <w:cantSplit w:val="0"/>
          <w:trHeight w:val="35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3">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9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52,716,290</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9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52,716,290</w:t>
            </w:r>
          </w:p>
        </w:tc>
      </w:tr>
      <w:tr>
        <w:trPr>
          <w:cantSplit w:val="0"/>
          <w:trHeight w:val="35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6">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9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472,923,735</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9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472,923,735</w:t>
            </w:r>
            <w:r w:rsidDel="00000000" w:rsidR="00000000" w:rsidRPr="00000000">
              <w:rPr>
                <w:rtl w:val="0"/>
              </w:rPr>
            </w:r>
          </w:p>
        </w:tc>
      </w:tr>
      <w:tr>
        <w:trPr>
          <w:cantSplit w:val="0"/>
          <w:trHeight w:val="368"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99">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9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204,707,748</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09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197,593,636</w:t>
            </w:r>
            <w:r w:rsidDel="00000000" w:rsidR="00000000" w:rsidRPr="00000000">
              <w:rPr>
                <w:rtl w:val="0"/>
              </w:rPr>
            </w:r>
          </w:p>
        </w:tc>
      </w:tr>
      <w:tr>
        <w:trPr>
          <w:cantSplit w:val="0"/>
          <w:trHeight w:val="368"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0" w:val="nil"/>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09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14,877,104,676</w:t>
            </w:r>
          </w:p>
        </w:tc>
        <w:tc>
          <w:tcPr>
            <w:tcBorders>
              <w:top w:color="000000" w:space="0" w:sz="0" w:val="nil"/>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09E">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8,910,335,876</w:t>
            </w:r>
          </w:p>
        </w:tc>
      </w:tr>
    </w:tbl>
    <w:p w:rsidR="00000000" w:rsidDel="00000000" w:rsidP="00000000" w:rsidRDefault="00000000" w:rsidRPr="00000000" w14:paraId="0000009F">
      <w:pPr>
        <w:jc w:val="cente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A0">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1">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0A2">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6.- Bienes Muebles.</w:t>
      </w:r>
      <w:r w:rsidDel="00000000" w:rsidR="00000000" w:rsidRPr="00000000">
        <w:rPr>
          <w:rtl w:val="0"/>
        </w:rPr>
      </w:r>
    </w:p>
    <w:p w:rsidR="00000000" w:rsidDel="00000000" w:rsidP="00000000" w:rsidRDefault="00000000" w:rsidRPr="00000000" w14:paraId="000000A3">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5">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refleja el valor de los bienes muebles que posee el Gobierno del Estado, los cuales son necesarios para cubrir la operatividad y el desarrollo de las funciones de los diferentes entes públicos que lo conforman.</w:t>
      </w:r>
    </w:p>
    <w:p w:rsidR="00000000" w:rsidDel="00000000" w:rsidP="00000000" w:rsidRDefault="00000000" w:rsidRPr="00000000" w14:paraId="000000A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 </w:t>
      </w:r>
    </w:p>
    <w:p w:rsidR="00000000" w:rsidDel="00000000" w:rsidP="00000000" w:rsidRDefault="00000000" w:rsidRPr="00000000" w14:paraId="000000A7">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valor que representa al 31 de marzo de 2021 comparado con el mismo periodo del 2020, se integra de la siguiente manera:</w:t>
      </w:r>
    </w:p>
    <w:p w:rsidR="00000000" w:rsidDel="00000000" w:rsidP="00000000" w:rsidRDefault="00000000" w:rsidRPr="00000000" w14:paraId="000000A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6"/>
        <w:tblW w:w="9075.0" w:type="dxa"/>
        <w:jc w:val="left"/>
        <w:tblInd w:w="55.0" w:type="dxa"/>
        <w:tblLayout w:type="fixed"/>
        <w:tblLook w:val="0400"/>
      </w:tblPr>
      <w:tblGrid>
        <w:gridCol w:w="3839"/>
        <w:gridCol w:w="2643"/>
        <w:gridCol w:w="2593"/>
        <w:tblGridChange w:id="0">
          <w:tblGrid>
            <w:gridCol w:w="3839"/>
            <w:gridCol w:w="2643"/>
            <w:gridCol w:w="2593"/>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AB">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AC">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0A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AE">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A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2,589,136,333</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B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2,232,318,769</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B1">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B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66,922,305</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B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63,338,085</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B4">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B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154,038,855</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B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149,295,642</w:t>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B7">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B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416,560,570</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0B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386,798,047</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A">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0" w:val="nil"/>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0BB">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3,226,658,063</w:t>
            </w:r>
          </w:p>
        </w:tc>
        <w:tc>
          <w:tcPr>
            <w:tcBorders>
              <w:top w:color="000000" w:space="0" w:sz="0" w:val="nil"/>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0B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2,831,750,543</w:t>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0BE">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7.- Activos Intangibles.</w:t>
      </w:r>
      <w:r w:rsidDel="00000000" w:rsidR="00000000" w:rsidRPr="00000000">
        <w:rPr>
          <w:rtl w:val="0"/>
        </w:rPr>
      </w:r>
    </w:p>
    <w:p w:rsidR="00000000" w:rsidDel="00000000" w:rsidP="00000000" w:rsidRDefault="00000000" w:rsidRPr="00000000" w14:paraId="000000BF">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0">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1">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Representan dentro del activo el valor de todos los bienes intangibles que posee el Gobierno del Estado necesarios para llevar a cabo funciones de los diferentes entes públicos que lo conforman.</w:t>
      </w:r>
    </w:p>
    <w:p w:rsidR="00000000" w:rsidDel="00000000" w:rsidP="00000000" w:rsidRDefault="00000000" w:rsidRPr="00000000" w14:paraId="000000C2">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3">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al 31 de marzo de 2021 comparado con el mismo periodo del 2020, se encuentra integrado de la siguiente manera:</w:t>
      </w:r>
    </w:p>
    <w:p w:rsidR="00000000" w:rsidDel="00000000" w:rsidP="00000000" w:rsidRDefault="00000000" w:rsidRPr="00000000" w14:paraId="000000C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b w:val="1"/>
          <w:color w:val="000000"/>
          <w:rtl w:val="0"/>
        </w:rPr>
        <w:t xml:space="preserve">(Pesos)</w:t>
      </w:r>
      <w:r w:rsidDel="00000000" w:rsidR="00000000" w:rsidRPr="00000000">
        <w:rPr>
          <w:rtl w:val="0"/>
        </w:rPr>
      </w:r>
    </w:p>
    <w:tbl>
      <w:tblPr>
        <w:tblStyle w:val="Table7"/>
        <w:tblW w:w="9058.0" w:type="dxa"/>
        <w:jc w:val="left"/>
        <w:tblInd w:w="55.0" w:type="dxa"/>
        <w:tblLayout w:type="fixed"/>
        <w:tblLook w:val="0400"/>
      </w:tblPr>
      <w:tblGrid>
        <w:gridCol w:w="3832"/>
        <w:gridCol w:w="2638"/>
        <w:gridCol w:w="2588"/>
        <w:tblGridChange w:id="0">
          <w:tblGrid>
            <w:gridCol w:w="3832"/>
            <w:gridCol w:w="2638"/>
            <w:gridCol w:w="2588"/>
          </w:tblGrid>
        </w:tblGridChange>
      </w:tblGrid>
      <w:tr>
        <w:trPr>
          <w:cantSplit w:val="0"/>
          <w:trHeight w:val="319"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C7">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C8">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0C9">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19"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CA">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C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161,681,807</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C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167,763,939</w:t>
            </w:r>
          </w:p>
        </w:tc>
      </w:tr>
      <w:tr>
        <w:trPr>
          <w:cantSplit w:val="0"/>
          <w:trHeight w:val="319"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CD">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CE">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1,145,789</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C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1,145,789</w:t>
            </w:r>
            <w:r w:rsidDel="00000000" w:rsidR="00000000" w:rsidRPr="00000000">
              <w:rPr>
                <w:rtl w:val="0"/>
              </w:rPr>
            </w:r>
          </w:p>
        </w:tc>
      </w:tr>
      <w:tr>
        <w:trPr>
          <w:cantSplit w:val="0"/>
          <w:trHeight w:val="319"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D0">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D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1,468,946</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D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1,400,988</w:t>
            </w:r>
            <w:r w:rsidDel="00000000" w:rsidR="00000000" w:rsidRPr="00000000">
              <w:rPr>
                <w:rtl w:val="0"/>
              </w:rPr>
            </w:r>
          </w:p>
        </w:tc>
      </w:tr>
      <w:tr>
        <w:trPr>
          <w:cantSplit w:val="0"/>
          <w:trHeight w:val="334"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D3">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D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44,621,483</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0D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44,621,483</w:t>
            </w:r>
            <w:r w:rsidDel="00000000" w:rsidR="00000000" w:rsidRPr="00000000">
              <w:rPr>
                <w:rtl w:val="0"/>
              </w:rPr>
            </w:r>
          </w:p>
        </w:tc>
      </w:tr>
      <w:tr>
        <w:trPr>
          <w:cantSplit w:val="0"/>
          <w:trHeight w:val="334"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D6">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0" w:val="nil"/>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0D7">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208,918,026</w:t>
            </w:r>
          </w:p>
        </w:tc>
        <w:tc>
          <w:tcPr>
            <w:tcBorders>
              <w:top w:color="000000" w:space="0" w:sz="0" w:val="nil"/>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0D8">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214,932,199</w:t>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DC">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PASIVO</w:t>
      </w:r>
    </w:p>
    <w:p w:rsidR="00000000" w:rsidDel="00000000" w:rsidP="00000000" w:rsidRDefault="00000000" w:rsidRPr="00000000" w14:paraId="000000D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D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DF">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 el conjunto de cuentas que permiten el registro de las obligaciones contraídas por el Gobierno Estatal, para el desarrollo de sus funciones y la prestación de los servicios públicos, al 31 de marzo de 2021,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Univia Pro Book" w:cs="Univia Pro Book" w:eastAsia="Univia Pro Book" w:hAnsi="Univia Pro Book"/>
        </w:rPr>
      </w:pPr>
      <w:r w:rsidDel="00000000" w:rsidR="00000000" w:rsidRPr="00000000">
        <w:rPr>
          <w:rFonts w:ascii="Univia Pro Book" w:cs="Univia Pro Book" w:eastAsia="Univia Pro Book" w:hAnsi="Univia Pro Book"/>
          <w:b w:val="1"/>
          <w:u w:val="single"/>
          <w:rtl w:val="0"/>
        </w:rPr>
        <w:t xml:space="preserve">Pasivo Circulante</w:t>
      </w:r>
      <w:r w:rsidDel="00000000" w:rsidR="00000000" w:rsidRPr="00000000">
        <w:rPr>
          <w:rtl w:val="0"/>
        </w:rPr>
      </w:r>
    </w:p>
    <w:p w:rsidR="00000000" w:rsidDel="00000000" w:rsidP="00000000" w:rsidRDefault="00000000" w:rsidRPr="00000000" w14:paraId="000000E3">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5">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8.- Cuentas por Pagar a Corto Plazo.</w:t>
      </w:r>
      <w:r w:rsidDel="00000000" w:rsidR="00000000" w:rsidRPr="00000000">
        <w:rPr>
          <w:rtl w:val="0"/>
        </w:rPr>
      </w:r>
    </w:p>
    <w:p w:rsidR="00000000" w:rsidDel="00000000" w:rsidP="00000000" w:rsidRDefault="00000000" w:rsidRPr="00000000" w14:paraId="000000E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8">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refleja el registro de los adeudos contraídos del Estado, que deberá pagar en un plazo menor o igual a doce meses, el saldo al 31 de marzo de 2021 comparado con el mismo periodo del 2020, se integra de:</w:t>
      </w:r>
    </w:p>
    <w:p w:rsidR="00000000" w:rsidDel="00000000" w:rsidP="00000000" w:rsidRDefault="00000000" w:rsidRPr="00000000" w14:paraId="000000E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8"/>
        <w:tblW w:w="8958.0" w:type="dxa"/>
        <w:jc w:val="left"/>
        <w:tblInd w:w="55.0" w:type="dxa"/>
        <w:tblLayout w:type="fixed"/>
        <w:tblLook w:val="0400"/>
      </w:tblPr>
      <w:tblGrid>
        <w:gridCol w:w="3790"/>
        <w:gridCol w:w="2609"/>
        <w:gridCol w:w="2559"/>
        <w:tblGridChange w:id="0">
          <w:tblGrid>
            <w:gridCol w:w="3790"/>
            <w:gridCol w:w="2609"/>
            <w:gridCol w:w="2559"/>
          </w:tblGrid>
        </w:tblGridChange>
      </w:tblGrid>
      <w:tr>
        <w:trPr>
          <w:cantSplit w:val="0"/>
          <w:trHeight w:val="318"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0EB">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0EC">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0E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18"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EE">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E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7,508,881,962</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F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8,436,821,374</w:t>
            </w:r>
          </w:p>
        </w:tc>
      </w:tr>
      <w:tr>
        <w:trPr>
          <w:cantSplit w:val="0"/>
          <w:trHeight w:val="318"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F1">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F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121,710,936</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F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119,381,634</w:t>
            </w:r>
          </w:p>
        </w:tc>
      </w:tr>
      <w:tr>
        <w:trPr>
          <w:cantSplit w:val="0"/>
          <w:trHeight w:val="318"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F4">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F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496,841,235</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F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444,932,401</w:t>
            </w:r>
          </w:p>
        </w:tc>
      </w:tr>
      <w:tr>
        <w:trPr>
          <w:cantSplit w:val="0"/>
          <w:trHeight w:val="334"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0F7">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0F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256,590,412</w:t>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0F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182,084,694</w:t>
            </w:r>
            <w:r w:rsidDel="00000000" w:rsidR="00000000" w:rsidRPr="00000000">
              <w:rPr>
                <w:rtl w:val="0"/>
              </w:rPr>
            </w:r>
          </w:p>
        </w:tc>
      </w:tr>
      <w:tr>
        <w:trPr>
          <w:cantSplit w:val="0"/>
          <w:trHeight w:val="334"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FA">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0" w:val="nil"/>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0FB">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8,384,024,546</w:t>
            </w:r>
          </w:p>
        </w:tc>
        <w:tc>
          <w:tcPr>
            <w:tcBorders>
              <w:top w:color="000000" w:space="0" w:sz="0" w:val="nil"/>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0F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9,183,220,103</w:t>
            </w:r>
          </w:p>
        </w:tc>
      </w:tr>
    </w:tbl>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Univia Pro Book" w:cs="Univia Pro Book" w:eastAsia="Univia Pro Book" w:hAnsi="Univia Pro Book"/>
          <w:color w:val="000000"/>
        </w:rPr>
      </w:pPr>
      <w:r w:rsidDel="00000000" w:rsidR="00000000" w:rsidRPr="00000000">
        <w:rPr>
          <w:rtl w:val="0"/>
        </w:rPr>
      </w:r>
    </w:p>
    <w:p w:rsidR="00000000" w:rsidDel="00000000" w:rsidP="00000000" w:rsidRDefault="00000000" w:rsidRPr="00000000" w14:paraId="000000FF">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9.- Documentos por Pagar a Corto Plazo.</w:t>
      </w:r>
    </w:p>
    <w:p w:rsidR="00000000" w:rsidDel="00000000" w:rsidP="00000000" w:rsidRDefault="00000000" w:rsidRPr="00000000" w14:paraId="00000100">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01">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02">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de este rubro representa el monto de los adeudos contraídos del Estado, exigibles en documentos comerciales por pagar que deberá liquidar en un plazo menor o igual a doce meses y corresponden exclusivamente al Poder Ejecutivo con saldo 31 de marzo de 2021, como se muestra en la tabla:</w:t>
      </w:r>
    </w:p>
    <w:p w:rsidR="00000000" w:rsidDel="00000000" w:rsidP="00000000" w:rsidRDefault="00000000" w:rsidRPr="00000000" w14:paraId="00000103">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9"/>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05">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06">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07">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08">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240,000,000</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0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585,000,000</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0B">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C">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240,000,000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585,000,000</w:t>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Univia Pro Book" w:cs="Univia Pro Book" w:eastAsia="Univia Pro Book" w:hAnsi="Univia Pro Book"/>
          <w:b w:val="1"/>
          <w:color w:val="000000"/>
        </w:rPr>
      </w:pPr>
      <w:r w:rsidDel="00000000" w:rsidR="00000000" w:rsidRPr="00000000">
        <w:rPr>
          <w:rtl w:val="0"/>
        </w:rPr>
      </w:r>
    </w:p>
    <w:p w:rsidR="00000000" w:rsidDel="00000000" w:rsidP="00000000" w:rsidRDefault="00000000" w:rsidRPr="00000000" w14:paraId="00000110">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10.- Porción a Corto Plazo de la Deuda Pública a Largo Plazo.</w:t>
      </w:r>
    </w:p>
    <w:p w:rsidR="00000000" w:rsidDel="00000000" w:rsidP="00000000" w:rsidRDefault="00000000" w:rsidRPr="00000000" w14:paraId="00000111">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12">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13">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 provisión, representa el monto de los adeudos por amortización de la deuda pública contraída por el ente público que deberá pagar en un plazo menor o igual a doce meses y corresponde al Poder Ejecutivo, el saldo provisionado al 31 de marzo de 2021 comparado con el mismo periodo del 2020, es el siguiente:</w:t>
      </w:r>
    </w:p>
    <w:p w:rsidR="00000000" w:rsidDel="00000000" w:rsidP="00000000" w:rsidRDefault="00000000" w:rsidRPr="00000000" w14:paraId="0000011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(Pesos)</w:t>
      </w:r>
    </w:p>
    <w:tbl>
      <w:tblPr>
        <w:tblStyle w:val="Table10"/>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16">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17">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18">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9">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134,230,707</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407,576,858</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C">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D">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134,230,707</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1E">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407,576,858</w:t>
            </w:r>
          </w:p>
        </w:tc>
      </w:tr>
    </w:tbl>
    <w:p w:rsidR="00000000" w:rsidDel="00000000" w:rsidP="00000000" w:rsidRDefault="00000000" w:rsidRPr="00000000" w14:paraId="0000011F">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20">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21">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11.- Otros Pasivos a Corto Plazo.</w:t>
      </w:r>
    </w:p>
    <w:p w:rsidR="00000000" w:rsidDel="00000000" w:rsidP="00000000" w:rsidRDefault="00000000" w:rsidRPr="00000000" w14:paraId="00000122">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3">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4">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al 31 de marzo de 2021 comparado con el periodo del 2020 de la siguiente forma:</w:t>
      </w:r>
    </w:p>
    <w:p w:rsidR="00000000" w:rsidDel="00000000" w:rsidP="00000000" w:rsidRDefault="00000000" w:rsidRPr="00000000" w14:paraId="0000012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27">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1"/>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28">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29">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2A">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2B">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1,313,859,480</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989,506,769</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2E">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2F">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1,313,859,480</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30">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989,506,769</w:t>
            </w:r>
          </w:p>
        </w:tc>
      </w:tr>
    </w:tbl>
    <w:p w:rsidR="00000000" w:rsidDel="00000000" w:rsidP="00000000" w:rsidRDefault="00000000" w:rsidRPr="00000000" w14:paraId="00000131">
      <w:pPr>
        <w:jc w:val="cente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32">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33">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u w:val="single"/>
          <w:rtl w:val="0"/>
        </w:rPr>
        <w:t xml:space="preserve">Pasivo No Circulante</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134">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6">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12.- Cuentas por Pagar a Largo Plazo.</w:t>
      </w:r>
    </w:p>
    <w:p w:rsidR="00000000" w:rsidDel="00000000" w:rsidP="00000000" w:rsidRDefault="00000000" w:rsidRPr="00000000" w14:paraId="0000013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rubro refleja el registro de los compromisos contraídos a largo plazo y representa el monto de otros adeudos del Estado pendientes de liquidar, que corresponde al Poder Ejecutivo y deberá pagar en un plazo mayor a doce meses, el saldo al 31 de marzo de 2021 comparado con el periodo del 2020, se integra de la siguiente manera:</w:t>
      </w:r>
    </w:p>
    <w:p w:rsidR="00000000" w:rsidDel="00000000" w:rsidP="00000000" w:rsidRDefault="00000000" w:rsidRPr="00000000" w14:paraId="0000013A">
      <w:pPr>
        <w:jc w:val="both"/>
        <w:rPr>
          <w:rFonts w:ascii="Univia Pro Book" w:cs="Univia Pro Book" w:eastAsia="Univia Pro Book" w:hAnsi="Univia Pro Book"/>
        </w:rPr>
      </w:pPr>
      <w:bookmarkStart w:colFirst="0" w:colLast="0" w:name="_gjdgxs" w:id="0"/>
      <w:bookmarkEnd w:id="0"/>
      <w:r w:rsidDel="00000000" w:rsidR="00000000" w:rsidRPr="00000000">
        <w:rPr>
          <w:rtl w:val="0"/>
        </w:rPr>
      </w:r>
    </w:p>
    <w:p w:rsidR="00000000" w:rsidDel="00000000" w:rsidP="00000000" w:rsidRDefault="00000000" w:rsidRPr="00000000" w14:paraId="0000013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3C">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2"/>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3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3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3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0">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0</w:t>
            </w:r>
          </w:p>
        </w:tc>
        <w:tc>
          <w:tcPr>
            <w:tcBorders>
              <w:top w:color="000000" w:space="0" w:sz="0" w:val="nil"/>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2">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14,329</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3">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4">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5">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14,329</w:t>
            </w:r>
          </w:p>
        </w:tc>
      </w:tr>
    </w:tbl>
    <w:p w:rsidR="00000000" w:rsidDel="00000000" w:rsidP="00000000" w:rsidRDefault="00000000" w:rsidRPr="00000000" w14:paraId="00000146">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 13.- Deuda Pública a Largo Plazo.</w:t>
      </w:r>
      <w:r w:rsidDel="00000000" w:rsidR="00000000" w:rsidRPr="00000000">
        <w:rPr>
          <w:rtl w:val="0"/>
        </w:rPr>
      </w:r>
    </w:p>
    <w:p w:rsidR="00000000" w:rsidDel="00000000" w:rsidP="00000000" w:rsidRDefault="00000000" w:rsidRPr="00000000" w14:paraId="0000014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48">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49">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rubro se integra del monto de las obligaciones directas o contingentes derivadas de financiamiento a cargo del Estado en términos de las disposiciones legales aplicables, corresponde al Poder Ejecutivo. El saldo al 31 de marzo de 2021 en comparación el periodo del 2020, es el siguiente:</w:t>
      </w:r>
    </w:p>
    <w:p w:rsidR="00000000" w:rsidDel="00000000" w:rsidP="00000000" w:rsidRDefault="00000000" w:rsidRPr="00000000" w14:paraId="0000014A">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4B">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3"/>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4C">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4D">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4E">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F">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13,777,040,852</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1">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12,272,430,095</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52">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3">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13,777,040,852</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4">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12,272,430,095</w:t>
            </w:r>
          </w:p>
        </w:tc>
      </w:tr>
    </w:tbl>
    <w:p w:rsidR="00000000" w:rsidDel="00000000" w:rsidP="00000000" w:rsidRDefault="00000000" w:rsidRPr="00000000" w14:paraId="00000155">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56">
      <w:pPr>
        <w:rPr>
          <w:rFonts w:ascii="Univia Pro Book" w:cs="Univia Pro Book" w:eastAsia="Univia Pro Book" w:hAnsi="Univia Pro Book"/>
        </w:rPr>
      </w:pPr>
      <w:bookmarkStart w:colFirst="0" w:colLast="0" w:name="_30j0zll" w:id="1"/>
      <w:bookmarkEnd w:id="1"/>
      <w:r w:rsidDel="00000000" w:rsidR="00000000" w:rsidRPr="00000000">
        <w:rPr>
          <w:rFonts w:ascii="Univia Pro Book" w:cs="Univia Pro Book" w:eastAsia="Univia Pro Book" w:hAnsi="Univia Pro Book"/>
          <w:rtl w:val="0"/>
        </w:rPr>
        <w:t xml:space="preserve">El importe total de la Deuda Pública deberá incluir la Porción a Corto Plazo descrita en la nota 10. </w:t>
      </w:r>
    </w:p>
    <w:p w:rsidR="00000000" w:rsidDel="00000000" w:rsidP="00000000" w:rsidRDefault="00000000" w:rsidRPr="00000000" w14:paraId="00000157">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58">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59">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14. Fondos y Bienes de Terceros en Garantía y/o en Administración a Largo Plazo.</w:t>
      </w:r>
    </w:p>
    <w:p w:rsidR="00000000" w:rsidDel="00000000" w:rsidP="00000000" w:rsidRDefault="00000000" w:rsidRPr="00000000" w14:paraId="0000015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5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5C">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 integración de este rubro representa el monto de los fondos y bienes propiedad de terceros, en garantía del cumplimiento de obligaciones contractuales o legales, en un plazo mayor a doce meses, al 31 de marzo de 2021 en comparación con el periodo del 2020 que corresponde al Poder Ejecutivo y su saldo se integra de la siguiente manera:</w:t>
      </w:r>
    </w:p>
    <w:p w:rsidR="00000000" w:rsidDel="00000000" w:rsidP="00000000" w:rsidRDefault="00000000" w:rsidRPr="00000000" w14:paraId="0000015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5E">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5F">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4"/>
        <w:tblW w:w="9100.0" w:type="dxa"/>
        <w:jc w:val="left"/>
        <w:tblInd w:w="55.0" w:type="dxa"/>
        <w:tblLayout w:type="fixed"/>
        <w:tblLook w:val="0400"/>
      </w:tblPr>
      <w:tblGrid>
        <w:gridCol w:w="3840"/>
        <w:gridCol w:w="2380"/>
        <w:gridCol w:w="2880"/>
        <w:tblGridChange w:id="0">
          <w:tblGrid>
            <w:gridCol w:w="3840"/>
            <w:gridCol w:w="2380"/>
            <w:gridCol w:w="2880"/>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60">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61">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62">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63">
            <w:pPr>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PODER EJECUTIVO</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18,563,320</w:t>
            </w:r>
          </w:p>
        </w:tc>
        <w:tc>
          <w:tcPr>
            <w:tcBorders>
              <w:top w:color="000000" w:space="0" w:sz="0" w:val="nil"/>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16,523,616</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66">
            <w:pPr>
              <w:jc w:val="right"/>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Suma</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7">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18,563,320</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68">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16,523,616</w:t>
            </w:r>
          </w:p>
        </w:tc>
      </w:tr>
    </w:tbl>
    <w:p w:rsidR="00000000" w:rsidDel="00000000" w:rsidP="00000000" w:rsidRDefault="00000000" w:rsidRPr="00000000" w14:paraId="00000169">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6A">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6B">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15. Al Estado de Variación de la Hacienda Pública/Patrimonio del Gobierno Estatal Consolidado</w:t>
      </w:r>
    </w:p>
    <w:p w:rsidR="00000000" w:rsidDel="00000000" w:rsidP="00000000" w:rsidRDefault="00000000" w:rsidRPr="00000000" w14:paraId="0000016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6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6E">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 Hacienda Pública representa el importe de los bienes y derechos que son propiedad del Gobierno del Estado de Oaxaca, abarca las variaciones entre el saldo del periodo enero-marzo del ejercicio fiscal 2021, cuyo análisis muestra los cambios y las variaciones acontecidas en el mismo periodo del año anterior (2020), al 31 de marzo de 2021 y 2020 estas dichas variaciones se muestran de esta manera:</w:t>
      </w:r>
    </w:p>
    <w:p w:rsidR="00000000" w:rsidDel="00000000" w:rsidP="00000000" w:rsidRDefault="00000000" w:rsidRPr="00000000" w14:paraId="0000016F">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70">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71">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5"/>
        <w:tblW w:w="9107.0" w:type="dxa"/>
        <w:jc w:val="left"/>
        <w:tblInd w:w="55.0" w:type="dxa"/>
        <w:tblLayout w:type="fixed"/>
        <w:tblLook w:val="0400"/>
      </w:tblPr>
      <w:tblGrid>
        <w:gridCol w:w="3853"/>
        <w:gridCol w:w="2652"/>
        <w:gridCol w:w="2602"/>
        <w:tblGridChange w:id="0">
          <w:tblGrid>
            <w:gridCol w:w="3853"/>
            <w:gridCol w:w="2652"/>
            <w:gridCol w:w="2602"/>
          </w:tblGrid>
        </w:tblGridChange>
      </w:tblGrid>
      <w:tr>
        <w:trPr>
          <w:cantSplit w:val="0"/>
          <w:trHeight w:val="303"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72">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173">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174">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3"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7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7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7,579,470,157</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7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2,971,210,540</w:t>
            </w:r>
          </w:p>
        </w:tc>
      </w:tr>
      <w:tr>
        <w:trPr>
          <w:cantSplit w:val="0"/>
          <w:trHeight w:val="303"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7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7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118,139,844</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7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115,854,016</w:t>
            </w:r>
          </w:p>
        </w:tc>
      </w:tr>
      <w:tr>
        <w:trPr>
          <w:cantSplit w:val="0"/>
          <w:trHeight w:val="303"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7B">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7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622,007,341</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7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618,655,555</w:t>
            </w:r>
          </w:p>
        </w:tc>
      </w:tr>
      <w:tr>
        <w:trPr>
          <w:cantSplit w:val="0"/>
          <w:trHeight w:val="303" w:hRule="atLeast"/>
          <w:tblHeader w:val="0"/>
        </w:trPr>
        <w:tc>
          <w:tcPr>
            <w:tcBorders>
              <w:top w:color="000000" w:space="0" w:sz="0" w:val="nil"/>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17E">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8" w:val="single"/>
              <w:bottom w:color="000000" w:space="0" w:sz="0" w:val="nil"/>
              <w:right w:color="000000" w:space="0" w:sz="0" w:val="nil"/>
            </w:tcBorders>
            <w:shd w:fill="ffffff" w:val="clear"/>
            <w:vAlign w:val="center"/>
          </w:tcPr>
          <w:p w:rsidR="00000000" w:rsidDel="00000000" w:rsidP="00000000" w:rsidRDefault="00000000" w:rsidRPr="00000000" w14:paraId="0000017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615,338,120</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80">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596,229,669</w:t>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81">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4" w:val="single"/>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18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8,934,955,463</w:t>
            </w:r>
          </w:p>
        </w:tc>
        <w:tc>
          <w:tcPr>
            <w:tcBorders>
              <w:top w:color="000000" w:space="0" w:sz="4" w:val="single"/>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183">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4,301,949,780</w:t>
            </w:r>
          </w:p>
        </w:tc>
      </w:tr>
    </w:tbl>
    <w:p w:rsidR="00000000" w:rsidDel="00000000" w:rsidP="00000000" w:rsidRDefault="00000000" w:rsidRPr="00000000" w14:paraId="00000184">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85">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7">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16. Al Estado de Actividades del Gobierno Estatal Consolidado</w:t>
      </w:r>
    </w:p>
    <w:p w:rsidR="00000000" w:rsidDel="00000000" w:rsidP="00000000" w:rsidRDefault="00000000" w:rsidRPr="00000000" w14:paraId="00000188">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89">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A">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B">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enero-marzo 2021 y 2020,  se muestra a continuación:</w:t>
      </w:r>
    </w:p>
    <w:p w:rsidR="00000000" w:rsidDel="00000000" w:rsidP="00000000" w:rsidRDefault="00000000" w:rsidRPr="00000000" w14:paraId="0000018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8E">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6"/>
        <w:tblW w:w="8958.0" w:type="dxa"/>
        <w:jc w:val="left"/>
        <w:tblInd w:w="55.0" w:type="dxa"/>
        <w:tblLayout w:type="fixed"/>
        <w:tblLook w:val="0400"/>
      </w:tblPr>
      <w:tblGrid>
        <w:gridCol w:w="3790"/>
        <w:gridCol w:w="2609"/>
        <w:gridCol w:w="2559"/>
        <w:tblGridChange w:id="0">
          <w:tblGrid>
            <w:gridCol w:w="3790"/>
            <w:gridCol w:w="2609"/>
            <w:gridCol w:w="2559"/>
          </w:tblGrid>
        </w:tblGridChange>
      </w:tblGrid>
      <w:tr>
        <w:trPr>
          <w:cantSplit w:val="0"/>
          <w:trHeight w:val="302" w:hRule="atLeast"/>
          <w:tblHeader w:val="0"/>
        </w:trPr>
        <w:tc>
          <w:tcPr>
            <w:tcBorders>
              <w:top w:color="000000" w:space="0" w:sz="8" w:val="single"/>
              <w:left w:color="000000" w:space="0" w:sz="8" w:val="single"/>
              <w:right w:color="000000" w:space="0" w:sz="8" w:val="single"/>
            </w:tcBorders>
            <w:shd w:fill="828282" w:val="clear"/>
            <w:vAlign w:val="center"/>
          </w:tcPr>
          <w:p w:rsidR="00000000" w:rsidDel="00000000" w:rsidP="00000000" w:rsidRDefault="00000000" w:rsidRPr="00000000" w14:paraId="0000018F">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190">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191">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2" w:hRule="atLeast"/>
          <w:tblHeader w:val="0"/>
        </w:trPr>
        <w:tc>
          <w:tcPr>
            <w:tcBorders>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92">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93">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1,023,631,837</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94">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2,977,247,411</w:t>
            </w:r>
          </w:p>
        </w:tc>
      </w:tr>
      <w:tr>
        <w:trPr>
          <w:cantSplit w:val="0"/>
          <w:trHeight w:val="302" w:hRule="atLeast"/>
          <w:tblHeader w:val="0"/>
        </w:trPr>
        <w:tc>
          <w:tcPr>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95">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9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-86,822</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97">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534,755</w:t>
            </w:r>
          </w:p>
        </w:tc>
      </w:tr>
      <w:tr>
        <w:trPr>
          <w:cantSplit w:val="0"/>
          <w:trHeight w:val="302" w:hRule="atLeast"/>
          <w:tblHeader w:val="0"/>
        </w:trPr>
        <w:tc>
          <w:tcPr>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98">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9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29,232</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9A">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14,161</w:t>
            </w:r>
          </w:p>
        </w:tc>
      </w:tr>
      <w:tr>
        <w:trPr>
          <w:cantSplit w:val="0"/>
          <w:trHeight w:val="302" w:hRule="atLeast"/>
          <w:tblHeader w:val="0"/>
        </w:trPr>
        <w:tc>
          <w:tcPr>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9B">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9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-7,479,971</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9D">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3,640,980</w:t>
            </w:r>
          </w:p>
        </w:tc>
      </w:tr>
      <w:tr>
        <w:trPr>
          <w:cantSplit w:val="0"/>
          <w:trHeight w:val="302" w:hRule="atLeast"/>
          <w:tblHeader w:val="0"/>
        </w:trPr>
        <w:tc>
          <w:tcPr>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9E">
            <w:pPr>
              <w:rPr>
                <w:rFonts w:ascii="Univia Pro Book" w:cs="Univia Pro Book" w:eastAsia="Univia Pro Book" w:hAnsi="Univia Pro Book"/>
                <w:color w:val="000000"/>
                <w:highlight w:val="yellow"/>
              </w:rPr>
            </w:pPr>
            <w:r w:rsidDel="00000000" w:rsidR="00000000" w:rsidRPr="00000000">
              <w:rPr>
                <w:rFonts w:ascii="Univia Pro Book" w:cs="Univia Pro Book" w:eastAsia="Univia Pro Book" w:hAnsi="Univia Pro Book"/>
                <w:color w:val="000000"/>
                <w:rtl w:val="0"/>
              </w:rPr>
              <w:t xml:space="preserve">SECTOR PARAESTATAL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F">
            <w:pPr>
              <w:jc w:val="right"/>
              <w:rPr>
                <w:rFonts w:ascii="Univia Pro Book" w:cs="Univia Pro Book" w:eastAsia="Univia Pro Book" w:hAnsi="Univia Pro Book"/>
                <w:color w:val="000000"/>
                <w:highlight w:val="yellow"/>
              </w:rPr>
            </w:pPr>
            <w:r w:rsidDel="00000000" w:rsidR="00000000" w:rsidRPr="00000000">
              <w:rPr>
                <w:rFonts w:ascii="Univia Pro Book" w:cs="Univia Pro Book" w:eastAsia="Univia Pro Book" w:hAnsi="Univia Pro Book"/>
                <w:color w:val="000000"/>
                <w:rtl w:val="0"/>
              </w:rPr>
              <w:t xml:space="preserve">   391,078,347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1A0">
            <w:pPr>
              <w:jc w:val="right"/>
              <w:rPr>
                <w:rFonts w:ascii="Univia Pro Book" w:cs="Univia Pro Book" w:eastAsia="Univia Pro Book" w:hAnsi="Univia Pro Book"/>
                <w:color w:val="000000"/>
                <w:highlight w:val="yellow"/>
              </w:rPr>
            </w:pPr>
            <w:r w:rsidDel="00000000" w:rsidR="00000000" w:rsidRPr="00000000">
              <w:rPr>
                <w:rFonts w:ascii="Univia Pro Book" w:cs="Univia Pro Book" w:eastAsia="Univia Pro Book" w:hAnsi="Univia Pro Book"/>
                <w:color w:val="000000"/>
                <w:rtl w:val="0"/>
              </w:rPr>
              <w:t xml:space="preserve">1,388,778,695</w:t>
            </w:r>
            <w:r w:rsidDel="00000000" w:rsidR="00000000" w:rsidRPr="00000000">
              <w:rPr>
                <w:rtl w:val="0"/>
              </w:rPr>
            </w:r>
          </w:p>
        </w:tc>
      </w:tr>
      <w:tr>
        <w:trPr>
          <w:cantSplit w:val="0"/>
          <w:trHeight w:val="317"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A1">
            <w:pPr>
              <w:jc w:val="right"/>
              <w:rPr>
                <w:rFonts w:ascii="Univia Pro Book" w:cs="Univia Pro Book" w:eastAsia="Univia Pro Book" w:hAnsi="Univia Pro Book"/>
                <w:b w:val="1"/>
                <w:color w:val="000000"/>
                <w:sz w:val="22"/>
                <w:szCs w:val="22"/>
              </w:rPr>
            </w:pPr>
            <w:r w:rsidDel="00000000" w:rsidR="00000000" w:rsidRPr="00000000">
              <w:rPr>
                <w:rFonts w:ascii="Univia Pro Book" w:cs="Univia Pro Book" w:eastAsia="Univia Pro Book" w:hAnsi="Univia Pro Book"/>
                <w:b w:val="1"/>
                <w:color w:val="000000"/>
                <w:sz w:val="22"/>
                <w:szCs w:val="22"/>
                <w:rtl w:val="0"/>
              </w:rPr>
              <w:t xml:space="preserve">Suma</w:t>
            </w:r>
          </w:p>
        </w:tc>
        <w:tc>
          <w:tcPr>
            <w:tcBorders>
              <w:top w:color="000000" w:space="0" w:sz="4" w:val="single"/>
              <w:left w:color="000000" w:space="0" w:sz="0" w:val="nil"/>
              <w:bottom w:color="000000" w:space="0" w:sz="6" w:val="single"/>
              <w:right w:color="000000" w:space="0" w:sz="0" w:val="nil"/>
            </w:tcBorders>
            <w:shd w:fill="ffffff" w:val="clear"/>
            <w:vAlign w:val="center"/>
          </w:tcPr>
          <w:p w:rsidR="00000000" w:rsidDel="00000000" w:rsidP="00000000" w:rsidRDefault="00000000" w:rsidRPr="00000000" w14:paraId="000001A2">
            <w:pPr>
              <w:jc w:val="right"/>
              <w:rPr>
                <w:rFonts w:ascii="Univia Pro Book" w:cs="Univia Pro Book" w:eastAsia="Univia Pro Book" w:hAnsi="Univia Pro Book"/>
                <w:b w:val="1"/>
                <w:color w:val="000000"/>
                <w:highlight w:val="yellow"/>
              </w:rPr>
            </w:pPr>
            <w:r w:rsidDel="00000000" w:rsidR="00000000" w:rsidRPr="00000000">
              <w:rPr>
                <w:rFonts w:ascii="Univia Pro Book" w:cs="Univia Pro Book" w:eastAsia="Univia Pro Book" w:hAnsi="Univia Pro Book"/>
                <w:b w:val="1"/>
                <w:color w:val="000000"/>
                <w:rtl w:val="0"/>
              </w:rPr>
              <w:t xml:space="preserve">1,407,172,623</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ffffff" w:val="clear"/>
            <w:vAlign w:val="center"/>
          </w:tcPr>
          <w:p w:rsidR="00000000" w:rsidDel="00000000" w:rsidP="00000000" w:rsidRDefault="00000000" w:rsidRPr="00000000" w14:paraId="000001A3">
            <w:pPr>
              <w:jc w:val="right"/>
              <w:rPr>
                <w:rFonts w:ascii="Univia Pro Book" w:cs="Univia Pro Book" w:eastAsia="Univia Pro Book" w:hAnsi="Univia Pro Book"/>
                <w:b w:val="1"/>
                <w:color w:val="000000"/>
                <w:highlight w:val="yellow"/>
              </w:rPr>
            </w:pPr>
            <w:r w:rsidDel="00000000" w:rsidR="00000000" w:rsidRPr="00000000">
              <w:rPr>
                <w:rFonts w:ascii="Univia Pro Book" w:cs="Univia Pro Book" w:eastAsia="Univia Pro Book" w:hAnsi="Univia Pro Book"/>
                <w:b w:val="1"/>
                <w:color w:val="000000"/>
                <w:rtl w:val="0"/>
              </w:rPr>
              <w:t xml:space="preserve">4,370,216,002</w:t>
            </w:r>
            <w:r w:rsidDel="00000000" w:rsidR="00000000" w:rsidRPr="00000000">
              <w:rPr>
                <w:rtl w:val="0"/>
              </w:rPr>
            </w:r>
          </w:p>
        </w:tc>
      </w:tr>
    </w:tbl>
    <w:p w:rsidR="00000000" w:rsidDel="00000000" w:rsidP="00000000" w:rsidRDefault="00000000" w:rsidRPr="00000000" w14:paraId="000001A4">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5">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6">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7">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8">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9">
      <w:pPr>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AA">
      <w:pP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 17. Al Estado de Flujos de Efectivo del Gobierno del Estado Consolidado</w:t>
      </w:r>
    </w:p>
    <w:p w:rsidR="00000000" w:rsidDel="00000000" w:rsidP="00000000" w:rsidRDefault="00000000" w:rsidRPr="00000000" w14:paraId="000001AB">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A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AD">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al 31 de marzo de 2021 comparado con el ejercicio 2020:</w:t>
      </w:r>
    </w:p>
    <w:p w:rsidR="00000000" w:rsidDel="00000000" w:rsidP="00000000" w:rsidRDefault="00000000" w:rsidRPr="00000000" w14:paraId="000001AE">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AF">
      <w:pPr>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B0">
      <w:pPr>
        <w:jc w:val="center"/>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(Pesos)</w:t>
      </w:r>
    </w:p>
    <w:tbl>
      <w:tblPr>
        <w:tblStyle w:val="Table17"/>
        <w:tblW w:w="8991.0" w:type="dxa"/>
        <w:jc w:val="left"/>
        <w:tblInd w:w="55.0" w:type="dxa"/>
        <w:tblLayout w:type="fixed"/>
        <w:tblLook w:val="0400"/>
      </w:tblPr>
      <w:tblGrid>
        <w:gridCol w:w="3804"/>
        <w:gridCol w:w="2618"/>
        <w:gridCol w:w="2569"/>
        <w:tblGridChange w:id="0">
          <w:tblGrid>
            <w:gridCol w:w="3804"/>
            <w:gridCol w:w="2618"/>
            <w:gridCol w:w="2569"/>
          </w:tblGrid>
        </w:tblGridChange>
      </w:tblGrid>
      <w:tr>
        <w:trPr>
          <w:cantSplit w:val="0"/>
          <w:trHeight w:val="300" w:hRule="atLeast"/>
          <w:tblHeader w:val="0"/>
        </w:trPr>
        <w:tc>
          <w:tcPr>
            <w:tcBorders>
              <w:top w:color="000000" w:space="0" w:sz="8" w:val="single"/>
              <w:left w:color="000000" w:space="0" w:sz="8" w:val="single"/>
              <w:bottom w:color="000000" w:space="0" w:sz="0" w:val="nil"/>
              <w:right w:color="000000" w:space="0" w:sz="8" w:val="single"/>
            </w:tcBorders>
            <w:shd w:fill="828282" w:val="clear"/>
            <w:vAlign w:val="center"/>
          </w:tcPr>
          <w:p w:rsidR="00000000" w:rsidDel="00000000" w:rsidP="00000000" w:rsidRDefault="00000000" w:rsidRPr="00000000" w14:paraId="000001B1">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Concepto</w:t>
            </w:r>
          </w:p>
        </w:tc>
        <w:tc>
          <w:tcPr>
            <w:tcBorders>
              <w:top w:color="000000" w:space="0" w:sz="8" w:val="single"/>
              <w:left w:color="000000" w:space="0" w:sz="0" w:val="nil"/>
              <w:bottom w:color="000000" w:space="0" w:sz="0" w:val="nil"/>
              <w:right w:color="000000" w:space="0" w:sz="0" w:val="nil"/>
            </w:tcBorders>
            <w:shd w:fill="828282" w:val="clear"/>
            <w:vAlign w:val="center"/>
          </w:tcPr>
          <w:p w:rsidR="00000000" w:rsidDel="00000000" w:rsidP="00000000" w:rsidRDefault="00000000" w:rsidRPr="00000000" w14:paraId="000001B2">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2021</w:t>
            </w:r>
          </w:p>
        </w:tc>
        <w:tc>
          <w:tcPr>
            <w:tcBorders>
              <w:top w:color="000000" w:space="0" w:sz="8" w:val="single"/>
              <w:left w:color="000000" w:space="0" w:sz="0" w:val="nil"/>
              <w:bottom w:color="000000" w:space="0" w:sz="0" w:val="nil"/>
              <w:right w:color="000000" w:space="0" w:sz="4" w:val="single"/>
            </w:tcBorders>
            <w:shd w:fill="828282" w:val="clear"/>
            <w:vAlign w:val="center"/>
          </w:tcPr>
          <w:p w:rsidR="00000000" w:rsidDel="00000000" w:rsidP="00000000" w:rsidRDefault="00000000" w:rsidRPr="00000000" w14:paraId="000001B3">
            <w:pPr>
              <w:jc w:val="center"/>
              <w:rPr>
                <w:rFonts w:ascii="Univia Pro Book" w:cs="Univia Pro Book" w:eastAsia="Univia Pro Book" w:hAnsi="Univia Pro Book"/>
                <w:b w:val="1"/>
                <w:color w:val="ffffff"/>
              </w:rPr>
            </w:pPr>
            <w:r w:rsidDel="00000000" w:rsidR="00000000" w:rsidRPr="00000000">
              <w:rPr>
                <w:rFonts w:ascii="Univia Pro Book" w:cs="Univia Pro Book" w:eastAsia="Univia Pro Book" w:hAnsi="Univia Pro Book"/>
                <w:b w:val="1"/>
                <w:color w:val="ffffff"/>
                <w:rtl w:val="0"/>
              </w:rPr>
              <w:t xml:space="preserve">2020</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4">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EJECUTIVO</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B5">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5,236,612,413</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B6">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5,819,379,451</w:t>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7">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LEGISLATIVO </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B8">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24,959,375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B9">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12,347,958</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A">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PODER JUDICIAL</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BB">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68,868,938</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1BC">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56,345,701</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ffffff" w:val="clear"/>
            <w:vAlign w:val="center"/>
          </w:tcPr>
          <w:p w:rsidR="00000000" w:rsidDel="00000000" w:rsidP="00000000" w:rsidRDefault="00000000" w:rsidRPr="00000000" w14:paraId="000001BD">
            <w:pPr>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color w:val="000000"/>
                <w:rtl w:val="0"/>
              </w:rPr>
              <w:t xml:space="preserve">ÓRGANOS AUTÓNOMOS</w:t>
            </w:r>
          </w:p>
        </w:tc>
        <w:tc>
          <w:tcPr>
            <w:tcBorders>
              <w:top w:color="000000" w:space="0" w:sz="0" w:val="nil"/>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1BE">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67,682,784</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fffff" w:val="clear"/>
            <w:vAlign w:val="center"/>
          </w:tcPr>
          <w:p w:rsidR="00000000" w:rsidDel="00000000" w:rsidP="00000000" w:rsidRDefault="00000000" w:rsidRPr="00000000" w14:paraId="000001BF">
            <w:pPr>
              <w:jc w:val="right"/>
              <w:rPr>
                <w:rFonts w:ascii="Univia Pro Book" w:cs="Univia Pro Book" w:eastAsia="Univia Pro Book" w:hAnsi="Univia Pro Book"/>
                <w:color w:val="000000"/>
              </w:rPr>
            </w:pPr>
            <w:r w:rsidDel="00000000" w:rsidR="00000000" w:rsidRPr="00000000">
              <w:rPr>
                <w:rFonts w:ascii="Univia Pro Book" w:cs="Univia Pro Book" w:eastAsia="Univia Pro Book" w:hAnsi="Univia Pro Book"/>
                <w:rtl w:val="0"/>
              </w:rPr>
              <w:t xml:space="preserve">28,407,856</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C0">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Suma</w:t>
            </w:r>
          </w:p>
        </w:tc>
        <w:tc>
          <w:tcPr>
            <w:tcBorders>
              <w:top w:color="000000" w:space="0" w:sz="4" w:val="single"/>
              <w:left w:color="000000" w:space="0" w:sz="4" w:val="single"/>
              <w:bottom w:color="000000" w:space="0" w:sz="6" w:val="single"/>
              <w:right w:color="000000" w:space="0" w:sz="0" w:val="nil"/>
            </w:tcBorders>
            <w:shd w:fill="ffffff" w:val="clear"/>
            <w:vAlign w:val="center"/>
          </w:tcPr>
          <w:p w:rsidR="00000000" w:rsidDel="00000000" w:rsidP="00000000" w:rsidRDefault="00000000" w:rsidRPr="00000000" w14:paraId="000001C1">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5,398,123,510</w:t>
            </w:r>
          </w:p>
        </w:tc>
        <w:tc>
          <w:tcPr>
            <w:tcBorders>
              <w:top w:color="000000" w:space="0" w:sz="4" w:val="single"/>
              <w:left w:color="000000" w:space="0" w:sz="0" w:val="nil"/>
              <w:bottom w:color="000000" w:space="0" w:sz="6" w:val="single"/>
              <w:right w:color="000000" w:space="0" w:sz="4" w:val="single"/>
            </w:tcBorders>
            <w:shd w:fill="ffffff" w:val="clear"/>
            <w:vAlign w:val="center"/>
          </w:tcPr>
          <w:p w:rsidR="00000000" w:rsidDel="00000000" w:rsidP="00000000" w:rsidRDefault="00000000" w:rsidRPr="00000000" w14:paraId="000001C2">
            <w:pPr>
              <w:jc w:val="right"/>
              <w:rPr>
                <w:rFonts w:ascii="Univia Pro Book" w:cs="Univia Pro Book" w:eastAsia="Univia Pro Book" w:hAnsi="Univia Pro Book"/>
                <w:b w:val="1"/>
                <w:color w:val="000000"/>
              </w:rPr>
            </w:pPr>
            <w:r w:rsidDel="00000000" w:rsidR="00000000" w:rsidRPr="00000000">
              <w:rPr>
                <w:rFonts w:ascii="Univia Pro Book" w:cs="Univia Pro Book" w:eastAsia="Univia Pro Book" w:hAnsi="Univia Pro Book"/>
                <w:b w:val="1"/>
                <w:color w:val="000000"/>
                <w:rtl w:val="0"/>
              </w:rPr>
              <w:t xml:space="preserve">5,916,480,965</w:t>
            </w:r>
          </w:p>
        </w:tc>
      </w:tr>
    </w:tbl>
    <w:p w:rsidR="00000000" w:rsidDel="00000000" w:rsidP="00000000" w:rsidRDefault="00000000" w:rsidRPr="00000000" w14:paraId="000001C3">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C4">
      <w:pPr>
        <w:rPr>
          <w:rFonts w:ascii="Univia Pro Book" w:cs="Univia Pro Book" w:eastAsia="Univia Pro Book" w:hAnsi="Univia Pro Book"/>
          <w:b w:val="1"/>
        </w:rPr>
      </w:pPr>
      <w:r w:rsidDel="00000000" w:rsidR="00000000" w:rsidRPr="00000000">
        <w:br w:type="page"/>
      </w:r>
      <w:r w:rsidDel="00000000" w:rsidR="00000000" w:rsidRPr="00000000">
        <w:rPr>
          <w:rtl w:val="0"/>
        </w:rPr>
      </w:r>
    </w:p>
    <w:p w:rsidR="00000000" w:rsidDel="00000000" w:rsidP="00000000" w:rsidRDefault="00000000" w:rsidRPr="00000000" w14:paraId="000001C5">
      <w:pPr>
        <w:jc w:val="both"/>
        <w:rPr>
          <w:rFonts w:ascii="Univia Pro Book" w:cs="Univia Pro Book" w:eastAsia="Univia Pro Book" w:hAnsi="Univia Pro Book"/>
          <w:b w:val="1"/>
        </w:rPr>
      </w:pPr>
      <w:r w:rsidDel="00000000" w:rsidR="00000000" w:rsidRPr="00000000">
        <w:rPr>
          <w:rFonts w:ascii="Univia Pro Book" w:cs="Univia Pro Book" w:eastAsia="Univia Pro Book" w:hAnsi="Univia Pro Book"/>
          <w:b w:val="1"/>
          <w:rtl w:val="0"/>
        </w:rPr>
        <w:t xml:space="preserve">Notas de Memoria</w:t>
      </w:r>
    </w:p>
    <w:p w:rsidR="00000000" w:rsidDel="00000000" w:rsidP="00000000" w:rsidRDefault="00000000" w:rsidRPr="00000000" w14:paraId="000001C6">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7">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8">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Las Notas de Memoria de cada uno de entes públicos que conforman el Poder Ejecutivo, Legislativo, Judicial y Órganos Autónomos emanan de las notas de la información presentada por cada uno, mismas que pueden ser consultadas en el respectivo apartado.</w:t>
      </w:r>
    </w:p>
    <w:p w:rsidR="00000000" w:rsidDel="00000000" w:rsidP="00000000" w:rsidRDefault="00000000" w:rsidRPr="00000000" w14:paraId="000001C9">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CA">
      <w:pPr>
        <w:jc w:val="both"/>
        <w:rPr>
          <w:rFonts w:ascii="Univia Pro Book" w:cs="Univia Pro Book" w:eastAsia="Univia Pro Book" w:hAnsi="Univia Pro Book"/>
          <w:b w:val="1"/>
        </w:rPr>
      </w:pPr>
      <w:r w:rsidDel="00000000" w:rsidR="00000000" w:rsidRPr="00000000">
        <w:rPr>
          <w:rtl w:val="0"/>
        </w:rPr>
      </w:r>
    </w:p>
    <w:p w:rsidR="00000000" w:rsidDel="00000000" w:rsidP="00000000" w:rsidRDefault="00000000" w:rsidRPr="00000000" w14:paraId="000001CB">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b w:val="1"/>
          <w:rtl w:val="0"/>
        </w:rPr>
        <w:t xml:space="preserve">Notas de Gestión Administrativa</w:t>
      </w:r>
      <w:r w:rsidDel="00000000" w:rsidR="00000000" w:rsidRPr="00000000">
        <w:rPr>
          <w:rFonts w:ascii="Univia Pro Book" w:cs="Univia Pro Book" w:eastAsia="Univia Pro Book" w:hAnsi="Univia Pro Book"/>
          <w:rtl w:val="0"/>
        </w:rPr>
        <w:t xml:space="preserve">.</w:t>
      </w:r>
    </w:p>
    <w:p w:rsidR="00000000" w:rsidDel="00000000" w:rsidP="00000000" w:rsidRDefault="00000000" w:rsidRPr="00000000" w14:paraId="000001CC">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D">
      <w:pPr>
        <w:jc w:val="both"/>
        <w:rPr>
          <w:rFonts w:ascii="Univia Pro Book" w:cs="Univia Pro Book" w:eastAsia="Univia Pro Book" w:hAnsi="Univia Pro Book"/>
        </w:rPr>
      </w:pPr>
      <w:r w:rsidDel="00000000" w:rsidR="00000000" w:rsidRPr="00000000">
        <w:rPr>
          <w:rtl w:val="0"/>
        </w:rPr>
      </w:r>
    </w:p>
    <w:p w:rsidR="00000000" w:rsidDel="00000000" w:rsidP="00000000" w:rsidRDefault="00000000" w:rsidRPr="00000000" w14:paraId="000001CE">
      <w:pPr>
        <w:jc w:val="both"/>
        <w:rPr>
          <w:rFonts w:ascii="Univia Pro Book" w:cs="Univia Pro Book" w:eastAsia="Univia Pro Book" w:hAnsi="Univia Pro Book"/>
        </w:rPr>
      </w:pPr>
      <w:r w:rsidDel="00000000" w:rsidR="00000000" w:rsidRPr="00000000">
        <w:rPr>
          <w:rFonts w:ascii="Univia Pro Book" w:cs="Univia Pro Book" w:eastAsia="Univia Pro Book" w:hAnsi="Univia Pro Book"/>
          <w:rtl w:val="0"/>
        </w:rPr>
        <w:t xml:space="preserve">Las Notas de Gestión Administrativa de cada uno de entes públicos que conforman el Poder Ejecutivo, Legislativo, Judicial y Órganos Autónomos emanan de las notas de la información presentada por cada uno, mismas que pueden ser consultadas en el respectivo apartado.</w:t>
      </w:r>
    </w:p>
    <w:p w:rsidR="00000000" w:rsidDel="00000000" w:rsidP="00000000" w:rsidRDefault="00000000" w:rsidRPr="00000000" w14:paraId="000001CF">
      <w:pPr>
        <w:jc w:val="both"/>
        <w:rPr>
          <w:rFonts w:ascii="Univia Pro Book" w:cs="Univia Pro Book" w:eastAsia="Univia Pro Book" w:hAnsi="Univia Pro Book"/>
          <w:b w:val="1"/>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567" w:top="2835" w:left="1701" w:right="1608" w:header="1985" w:footer="7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font w:name="Univia Pro Book"/>
  <w:font w:name="Helvetica Neue"/>
  <w:font w:name="Noto Sans Symbols"/>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pos="4252"/>
        <w:tab w:val="right" w:pos="8504"/>
      </w:tabs>
      <w:jc w:val="right"/>
      <w:rPr>
        <w:color w:val="000000"/>
        <w:sz w:val="16"/>
        <w:szCs w:val="16"/>
      </w:rPr>
    </w:pPr>
    <w:r w:rsidDel="00000000" w:rsidR="00000000" w:rsidRPr="00000000">
      <w:rPr>
        <w:color w:val="000000"/>
        <w:sz w:val="16"/>
        <w:szCs w:val="16"/>
      </w:rPr>
      <w:drawing>
        <wp:inline distB="0" distT="0" distL="0" distR="0">
          <wp:extent cx="6105525" cy="14287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05525" cy="142875"/>
                  </a:xfrm>
                  <a:prstGeom prst="rect"/>
                  <a:ln/>
                </pic:spPr>
              </pic:pic>
            </a:graphicData>
          </a:graphic>
        </wp:inline>
      </w:drawing>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center" w:pos="4252"/>
        <w:tab w:val="right" w:pos="8504"/>
      </w:tabs>
      <w:jc w:val="right"/>
      <w:rPr>
        <w:color w:val="000000"/>
        <w:sz w:val="16"/>
        <w:szCs w:val="16"/>
      </w:rPr>
    </w:pPr>
    <w:r w:rsidDel="00000000" w:rsidR="00000000" w:rsidRPr="00000000">
      <w:rPr>
        <w:color w:val="000000"/>
        <w:sz w:val="16"/>
        <w:szCs w:val="16"/>
        <w:rtl w:val="0"/>
      </w:rPr>
      <w:t xml:space="preserve">Cuenta Pública del Estado</w:t>
    </w:r>
  </w:p>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sz w:val="16"/>
        <w:szCs w:val="16"/>
        <w:rtl w:val="0"/>
      </w:rPr>
      <w:t xml:space="preserve">Periodo noviembre-diciembre del ejercicio 2010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pos="4252"/>
        <w:tab w:val="right" w:pos="8504"/>
      </w:tabs>
      <w:jc w:val="right"/>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-348610</wp:posOffset>
          </wp:positionH>
          <wp:positionV relativeFrom="paragraph">
            <wp:posOffset>-999482</wp:posOffset>
          </wp:positionV>
          <wp:extent cx="1452880" cy="1448435"/>
          <wp:effectExtent b="0" l="0" r="0" t="0"/>
          <wp:wrapSquare wrapText="bothSides" distB="0" distT="0" distL="114300" distR="114300"/>
          <wp:docPr descr="EscudoNacional" id="1" name="image1.png"/>
          <a:graphic>
            <a:graphicData uri="http://schemas.openxmlformats.org/drawingml/2006/picture">
              <pic:pic>
                <pic:nvPicPr>
                  <pic:cNvPr descr="EscudoNacional" id="0" name="image1.png"/>
                  <pic:cNvPicPr preferRelativeResize="0"/>
                </pic:nvPicPr>
                <pic:blipFill>
                  <a:blip r:embed="rId1"/>
                  <a:srcRect b="0" l="0" r="0" t="0"/>
                  <a:stretch>
                    <a:fillRect/>
                  </a:stretch>
                </pic:blipFill>
                <pic:spPr>
                  <a:xfrm>
                    <a:off x="0" y="0"/>
                    <a:ext cx="1452880" cy="14484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252"/>
        <w:tab w:val="right" w:pos="8504"/>
        <w:tab w:val="center" w:pos="4561"/>
        <w:tab w:val="right" w:pos="9122"/>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-900424</wp:posOffset>
          </wp:positionV>
          <wp:extent cx="2832100" cy="9017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32100" cy="901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5014595</wp:posOffset>
          </wp:positionH>
          <wp:positionV relativeFrom="paragraph">
            <wp:posOffset>-900424</wp:posOffset>
          </wp:positionV>
          <wp:extent cx="1116965" cy="89979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116965" cy="89979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Open Sans" w:cs="Open Sans" w:eastAsia="Open Sans" w:hAnsi="Open Sans"/>
      <w:b w:val="1"/>
      <w:sz w:val="36"/>
      <w:szCs w:val="36"/>
    </w:rPr>
  </w:style>
  <w:style w:type="paragraph" w:styleId="Heading2">
    <w:name w:val="heading 2"/>
    <w:basedOn w:val="Normal"/>
    <w:next w:val="Normal"/>
    <w:pPr>
      <w:keepNext w:val="1"/>
      <w:spacing w:line="360" w:lineRule="auto"/>
      <w:jc w:val="both"/>
    </w:pPr>
    <w:rPr>
      <w:rFonts w:ascii="Arial" w:cs="Arial" w:eastAsia="Arial" w:hAnsi="Arial"/>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jc w:val="center"/>
    </w:pPr>
    <w:rPr>
      <w:rFonts w:ascii="Arial" w:cs="Arial" w:eastAsia="Arial" w:hAnsi="Arial"/>
      <w:b w:val="1"/>
      <w:sz w:val="20"/>
      <w:szCs w:val="20"/>
    </w:rPr>
  </w:style>
  <w:style w:type="paragraph" w:styleId="Heading5">
    <w:name w:val="heading 5"/>
    <w:basedOn w:val="Normal"/>
    <w:next w:val="Normal"/>
    <w:pPr>
      <w:keepNext w:val="1"/>
    </w:pPr>
    <w:rPr>
      <w:rFonts w:ascii="Times New Roman" w:cs="Times New Roman" w:eastAsia="Times New Roman" w:hAnsi="Times New Roman"/>
      <w:b w:val="1"/>
      <w:sz w:val="20"/>
      <w:szCs w:val="20"/>
    </w:rPr>
  </w:style>
  <w:style w:type="paragraph" w:styleId="Heading6">
    <w:name w:val="heading 6"/>
    <w:basedOn w:val="Normal"/>
    <w:next w:val="Normal"/>
    <w:pPr>
      <w:keepNext w:val="1"/>
      <w:jc w:val="center"/>
    </w:pPr>
    <w:rPr>
      <w:rFonts w:ascii="Arial" w:cs="Arial" w:eastAsia="Arial" w:hAnsi="Arial"/>
      <w:b w:val="1"/>
      <w:sz w:val="22"/>
      <w:szCs w:val="22"/>
    </w:rPr>
  </w:style>
  <w:style w:type="paragraph" w:styleId="Title">
    <w:name w:val="Title"/>
    <w:basedOn w:val="Normal"/>
    <w:next w:val="Normal"/>
    <w:pPr>
      <w:jc w:val="center"/>
    </w:pPr>
    <w:rPr>
      <w:rFonts w:ascii="Tahoma" w:cs="Tahoma" w:eastAsia="Tahoma" w:hAnsi="Tahoma"/>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