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C355F" w14:textId="77777777" w:rsidR="009C05EA" w:rsidRPr="00853666" w:rsidRDefault="00B66A10">
      <w:pPr>
        <w:pBdr>
          <w:top w:val="nil"/>
          <w:left w:val="nil"/>
          <w:bottom w:val="nil"/>
          <w:right w:val="nil"/>
          <w:between w:val="nil"/>
        </w:pBdr>
        <w:spacing w:line="360" w:lineRule="auto"/>
        <w:ind w:left="1440" w:hanging="1440"/>
        <w:jc w:val="center"/>
        <w:rPr>
          <w:rFonts w:ascii="Monsserrat" w:hAnsi="Monsserrat"/>
          <w:sz w:val="28"/>
          <w:szCs w:val="28"/>
        </w:rPr>
      </w:pPr>
      <w:r w:rsidRPr="00853666">
        <w:rPr>
          <w:rFonts w:ascii="Monsserrat" w:hAnsi="Monsserrat"/>
          <w:sz w:val="28"/>
          <w:szCs w:val="28"/>
        </w:rPr>
        <w:t>ESTADOS FINANCIEROS CONSOLIDADOS DEL PODER EJECUTIVO</w:t>
      </w:r>
    </w:p>
    <w:p w14:paraId="684845D1" w14:textId="77777777" w:rsidR="009C05EA" w:rsidRPr="00853666" w:rsidRDefault="009C05EA">
      <w:pPr>
        <w:pBdr>
          <w:top w:val="nil"/>
          <w:left w:val="nil"/>
          <w:bottom w:val="nil"/>
          <w:right w:val="nil"/>
          <w:between w:val="nil"/>
        </w:pBdr>
        <w:spacing w:line="360" w:lineRule="auto"/>
        <w:jc w:val="both"/>
        <w:rPr>
          <w:rFonts w:ascii="Monsserrat" w:hAnsi="Monsserrat"/>
          <w:sz w:val="26"/>
          <w:szCs w:val="26"/>
        </w:rPr>
      </w:pPr>
    </w:p>
    <w:p w14:paraId="37AB47A1"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Las notas a los Estados Financieros Consolidados del Poder Ejecutivo correspondientes al periodo enero-junio 2022, están estructuradas y elaboradas de conformidad con el artículo 46, fracción I; inciso g), y 49 de la Ley General de Contabilidad Gubernamental, así como a la normatividad emitida por el Consejo Nacional de Armonización Contable (CONAC), y el artículo 13 inciso II), de la Ley de Fiscalización Superior y Rendición de Cuentas para el Estado de Oaxaca, con los siguientes apartados:</w:t>
      </w:r>
    </w:p>
    <w:p w14:paraId="40E7CA1F" w14:textId="77777777" w:rsidR="009C05EA" w:rsidRPr="00853666" w:rsidRDefault="009C05EA">
      <w:pPr>
        <w:pBdr>
          <w:top w:val="nil"/>
          <w:left w:val="nil"/>
          <w:bottom w:val="nil"/>
          <w:right w:val="nil"/>
          <w:between w:val="nil"/>
        </w:pBdr>
        <w:jc w:val="both"/>
        <w:rPr>
          <w:rFonts w:ascii="Monsserrat" w:hAnsi="Monsserrat"/>
          <w:sz w:val="26"/>
          <w:szCs w:val="26"/>
        </w:rPr>
      </w:pPr>
    </w:p>
    <w:p w14:paraId="57C3F8D4" w14:textId="77777777" w:rsidR="009C05EA" w:rsidRPr="00853666" w:rsidRDefault="009C05EA">
      <w:pPr>
        <w:pBdr>
          <w:top w:val="nil"/>
          <w:left w:val="nil"/>
          <w:bottom w:val="nil"/>
          <w:right w:val="nil"/>
          <w:between w:val="nil"/>
        </w:pBdr>
        <w:jc w:val="both"/>
        <w:rPr>
          <w:rFonts w:ascii="Monsserrat" w:hAnsi="Monsserrat"/>
          <w:sz w:val="26"/>
          <w:szCs w:val="26"/>
        </w:rPr>
      </w:pPr>
    </w:p>
    <w:p w14:paraId="142DC339" w14:textId="77777777" w:rsidR="009C05EA" w:rsidRPr="00853666" w:rsidRDefault="00B66A10">
      <w:pPr>
        <w:numPr>
          <w:ilvl w:val="0"/>
          <w:numId w:val="14"/>
        </w:num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Notas de Desglose.</w:t>
      </w:r>
    </w:p>
    <w:p w14:paraId="3AA70BE4" w14:textId="77777777" w:rsidR="009C05EA" w:rsidRPr="00853666" w:rsidRDefault="00B66A10">
      <w:pPr>
        <w:numPr>
          <w:ilvl w:val="0"/>
          <w:numId w:val="14"/>
        </w:num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Notas de Memoria.</w:t>
      </w:r>
    </w:p>
    <w:p w14:paraId="35800DC9" w14:textId="77777777" w:rsidR="009C05EA" w:rsidRPr="00853666" w:rsidRDefault="00B66A10">
      <w:pPr>
        <w:numPr>
          <w:ilvl w:val="0"/>
          <w:numId w:val="14"/>
        </w:num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Notas de Gestión Administrativa.</w:t>
      </w:r>
    </w:p>
    <w:p w14:paraId="0C9D9756" w14:textId="77777777" w:rsidR="009C05EA" w:rsidRPr="00853666" w:rsidRDefault="009C05EA">
      <w:pPr>
        <w:jc w:val="both"/>
        <w:rPr>
          <w:rFonts w:ascii="Monsserrat" w:hAnsi="Monsserrat"/>
          <w:sz w:val="26"/>
          <w:szCs w:val="26"/>
        </w:rPr>
      </w:pPr>
    </w:p>
    <w:p w14:paraId="14C38461" w14:textId="77777777" w:rsidR="009C05EA" w:rsidRPr="00853666" w:rsidRDefault="009C05EA">
      <w:pPr>
        <w:jc w:val="both"/>
        <w:rPr>
          <w:rFonts w:ascii="Monsserrat" w:hAnsi="Monsserrat"/>
          <w:sz w:val="26"/>
          <w:szCs w:val="26"/>
        </w:rPr>
      </w:pPr>
    </w:p>
    <w:p w14:paraId="2BBA3151" w14:textId="77777777" w:rsidR="009C05EA" w:rsidRPr="00853666" w:rsidRDefault="00B66A10">
      <w:pPr>
        <w:jc w:val="both"/>
        <w:rPr>
          <w:rFonts w:ascii="Monsserrat" w:hAnsi="Monsserrat"/>
          <w:sz w:val="26"/>
          <w:szCs w:val="26"/>
        </w:rPr>
      </w:pPr>
      <w:r w:rsidRPr="00853666">
        <w:rPr>
          <w:rFonts w:ascii="Monsserrat" w:hAnsi="Monsserrat"/>
          <w:sz w:val="26"/>
          <w:szCs w:val="26"/>
        </w:rPr>
        <w:t>Con base en el Acuerdo por el que se reforma la Norma en materia de consolidación de Estados Financieros y demás información contable, emitida por el Consejo Nacional de Armonización Contable (CONAC), el Gobierno del Estado de Oaxaca eliminó los saldos de los registros contables de las transacciones entre las unidades institucionales sujetas a consolidar tomado en consideración lo dispuesto en la Clasificación Administrativa actualizada.</w:t>
      </w:r>
    </w:p>
    <w:p w14:paraId="2102AD1F" w14:textId="77777777" w:rsidR="009C05EA" w:rsidRPr="00853666" w:rsidRDefault="009C05EA">
      <w:pPr>
        <w:jc w:val="both"/>
        <w:rPr>
          <w:rFonts w:ascii="Monsserrat" w:hAnsi="Monsserrat"/>
          <w:sz w:val="26"/>
          <w:szCs w:val="26"/>
        </w:rPr>
      </w:pPr>
    </w:p>
    <w:p w14:paraId="7EB836AE" w14:textId="77777777" w:rsidR="009C05EA" w:rsidRPr="00853666" w:rsidRDefault="00B66A10">
      <w:pPr>
        <w:jc w:val="both"/>
        <w:rPr>
          <w:rFonts w:ascii="Monsserrat" w:hAnsi="Monsserrat"/>
          <w:sz w:val="26"/>
          <w:szCs w:val="26"/>
        </w:rPr>
      </w:pPr>
      <w:r w:rsidRPr="00853666">
        <w:rPr>
          <w:rFonts w:ascii="Monsserrat" w:hAnsi="Monsserrat"/>
          <w:sz w:val="26"/>
          <w:szCs w:val="26"/>
        </w:rPr>
        <w:t>Las cuentas que se consolidan son:</w:t>
      </w:r>
    </w:p>
    <w:p w14:paraId="7C16A8CB" w14:textId="77777777" w:rsidR="009C05EA" w:rsidRPr="00853666" w:rsidRDefault="009C05EA">
      <w:pPr>
        <w:jc w:val="both"/>
        <w:rPr>
          <w:rFonts w:ascii="Monsserrat" w:hAnsi="Monsserrat"/>
          <w:sz w:val="26"/>
          <w:szCs w:val="26"/>
        </w:rPr>
      </w:pPr>
    </w:p>
    <w:p w14:paraId="0C56700E" w14:textId="77777777" w:rsidR="009C05EA" w:rsidRPr="00853666" w:rsidRDefault="00B66A10">
      <w:pPr>
        <w:jc w:val="both"/>
        <w:rPr>
          <w:rFonts w:ascii="Monsserrat" w:hAnsi="Monsserrat"/>
          <w:b/>
          <w:sz w:val="26"/>
          <w:szCs w:val="26"/>
        </w:rPr>
      </w:pPr>
      <w:r w:rsidRPr="00853666">
        <w:rPr>
          <w:rFonts w:ascii="Monsserrat" w:hAnsi="Monsserrat"/>
          <w:b/>
          <w:sz w:val="26"/>
          <w:szCs w:val="26"/>
        </w:rPr>
        <w:t>ACTIVO</w:t>
      </w:r>
    </w:p>
    <w:p w14:paraId="6B1589BF" w14:textId="77777777" w:rsidR="009C05EA" w:rsidRPr="00853666" w:rsidRDefault="00B66A10">
      <w:pPr>
        <w:numPr>
          <w:ilvl w:val="0"/>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Rubro</w:t>
      </w:r>
    </w:p>
    <w:p w14:paraId="34525B39" w14:textId="77777777" w:rsidR="009C05EA" w:rsidRPr="00853666" w:rsidRDefault="00B66A10">
      <w:pPr>
        <w:numPr>
          <w:ilvl w:val="1"/>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 xml:space="preserve">Derechos a Recibir Efectivo y Equivalentes </w:t>
      </w:r>
    </w:p>
    <w:p w14:paraId="568276D8" w14:textId="77777777" w:rsidR="009C05EA" w:rsidRPr="00853666" w:rsidRDefault="00B66A10">
      <w:pPr>
        <w:numPr>
          <w:ilvl w:val="2"/>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Cuenta</w:t>
      </w:r>
    </w:p>
    <w:p w14:paraId="66160DD7" w14:textId="77777777" w:rsidR="009C05EA" w:rsidRPr="00853666" w:rsidRDefault="00B66A10">
      <w:pPr>
        <w:numPr>
          <w:ilvl w:val="3"/>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Deudores Diversos por Cobrar a Corto Plazo</w:t>
      </w:r>
    </w:p>
    <w:p w14:paraId="771DD4FB" w14:textId="77777777" w:rsidR="009C05EA" w:rsidRPr="00853666" w:rsidRDefault="00B66A10">
      <w:pPr>
        <w:numPr>
          <w:ilvl w:val="3"/>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 xml:space="preserve">Deudores por Anticipos de la </w:t>
      </w:r>
      <w:proofErr w:type="gramStart"/>
      <w:r w:rsidRPr="00853666">
        <w:rPr>
          <w:rFonts w:ascii="Monsserrat" w:hAnsi="Monsserrat"/>
          <w:color w:val="000000"/>
          <w:sz w:val="26"/>
          <w:szCs w:val="26"/>
        </w:rPr>
        <w:t>Tesorería  a</w:t>
      </w:r>
      <w:proofErr w:type="gramEnd"/>
      <w:r w:rsidRPr="00853666">
        <w:rPr>
          <w:rFonts w:ascii="Monsserrat" w:hAnsi="Monsserrat"/>
          <w:color w:val="000000"/>
          <w:sz w:val="26"/>
          <w:szCs w:val="26"/>
        </w:rPr>
        <w:t xml:space="preserve"> Corto Plazo</w:t>
      </w:r>
    </w:p>
    <w:p w14:paraId="4E80A641" w14:textId="77777777" w:rsidR="009C05EA" w:rsidRPr="00853666" w:rsidRDefault="00B66A10">
      <w:pPr>
        <w:numPr>
          <w:ilvl w:val="3"/>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Préstamos Otorgados a Corto Plazo</w:t>
      </w:r>
    </w:p>
    <w:p w14:paraId="3876FC3B" w14:textId="77777777" w:rsidR="009C05EA" w:rsidRPr="00853666" w:rsidRDefault="00B66A10">
      <w:pPr>
        <w:jc w:val="both"/>
        <w:rPr>
          <w:rFonts w:ascii="Monsserrat" w:hAnsi="Monsserrat"/>
          <w:b/>
          <w:sz w:val="26"/>
          <w:szCs w:val="26"/>
        </w:rPr>
      </w:pPr>
      <w:r w:rsidRPr="00853666">
        <w:rPr>
          <w:rFonts w:ascii="Monsserrat" w:hAnsi="Monsserrat"/>
          <w:b/>
          <w:sz w:val="26"/>
          <w:szCs w:val="26"/>
        </w:rPr>
        <w:t>PASIVO</w:t>
      </w:r>
    </w:p>
    <w:p w14:paraId="47B73D7F" w14:textId="77777777" w:rsidR="009C05EA" w:rsidRPr="00853666" w:rsidRDefault="00B66A10">
      <w:pPr>
        <w:numPr>
          <w:ilvl w:val="0"/>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Rubro</w:t>
      </w:r>
    </w:p>
    <w:p w14:paraId="5BBF17B6" w14:textId="77777777" w:rsidR="009C05EA" w:rsidRPr="00853666" w:rsidRDefault="00B66A10">
      <w:pPr>
        <w:numPr>
          <w:ilvl w:val="1"/>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 xml:space="preserve">Cuentas por Pagar a Corto Plazo </w:t>
      </w:r>
    </w:p>
    <w:p w14:paraId="4CFD9482" w14:textId="77777777" w:rsidR="009C05EA" w:rsidRPr="00853666" w:rsidRDefault="00B66A10">
      <w:pPr>
        <w:numPr>
          <w:ilvl w:val="2"/>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Cuenta</w:t>
      </w:r>
    </w:p>
    <w:p w14:paraId="37370E94" w14:textId="77777777" w:rsidR="009C05EA" w:rsidRPr="00853666" w:rsidRDefault="00B66A10">
      <w:pPr>
        <w:numPr>
          <w:ilvl w:val="3"/>
          <w:numId w:val="5"/>
        </w:numPr>
        <w:pBdr>
          <w:top w:val="nil"/>
          <w:left w:val="nil"/>
          <w:bottom w:val="nil"/>
          <w:right w:val="nil"/>
          <w:between w:val="nil"/>
        </w:pBdr>
        <w:jc w:val="both"/>
        <w:rPr>
          <w:rFonts w:ascii="Monsserrat" w:hAnsi="Monsserrat"/>
          <w:sz w:val="26"/>
          <w:szCs w:val="26"/>
        </w:rPr>
      </w:pPr>
      <w:r w:rsidRPr="00853666">
        <w:rPr>
          <w:rFonts w:ascii="Monsserrat" w:hAnsi="Monsserrat"/>
          <w:color w:val="000000"/>
          <w:sz w:val="26"/>
          <w:szCs w:val="26"/>
        </w:rPr>
        <w:t>Otras Cuentas por Pagar a Corto Plazo</w:t>
      </w:r>
    </w:p>
    <w:p w14:paraId="17C5DF88" w14:textId="77777777" w:rsidR="009C05EA" w:rsidRPr="00853666" w:rsidRDefault="009C05EA">
      <w:pPr>
        <w:jc w:val="both"/>
        <w:rPr>
          <w:rFonts w:ascii="Monsserrat" w:hAnsi="Monsserrat"/>
          <w:sz w:val="26"/>
          <w:szCs w:val="26"/>
        </w:rPr>
      </w:pPr>
    </w:p>
    <w:p w14:paraId="1D1D248C" w14:textId="77777777" w:rsidR="009C05EA" w:rsidRPr="00853666" w:rsidRDefault="00B66A10">
      <w:pPr>
        <w:jc w:val="center"/>
        <w:rPr>
          <w:rFonts w:ascii="Monsserrat" w:hAnsi="Monsserrat"/>
          <w:b/>
          <w:sz w:val="26"/>
          <w:szCs w:val="26"/>
        </w:rPr>
      </w:pPr>
      <w:r w:rsidRPr="00853666">
        <w:rPr>
          <w:rFonts w:ascii="Monsserrat" w:hAnsi="Monsserrat"/>
          <w:b/>
          <w:sz w:val="26"/>
          <w:szCs w:val="26"/>
        </w:rPr>
        <w:t>Notas de Desglose:</w:t>
      </w:r>
    </w:p>
    <w:p w14:paraId="020FD4EC" w14:textId="77777777" w:rsidR="009C05EA" w:rsidRPr="00853666" w:rsidRDefault="009C05EA">
      <w:pPr>
        <w:rPr>
          <w:rFonts w:ascii="Monsserrat" w:hAnsi="Monsserrat"/>
          <w:sz w:val="26"/>
          <w:szCs w:val="26"/>
        </w:rPr>
      </w:pPr>
    </w:p>
    <w:p w14:paraId="34680ED8" w14:textId="77777777" w:rsidR="009C05EA" w:rsidRPr="00853666" w:rsidRDefault="009C05EA">
      <w:pPr>
        <w:rPr>
          <w:rFonts w:ascii="Monsserrat" w:hAnsi="Monsserrat"/>
          <w:sz w:val="26"/>
          <w:szCs w:val="26"/>
        </w:rPr>
      </w:pPr>
    </w:p>
    <w:p w14:paraId="170E3549" w14:textId="77777777" w:rsidR="009C05EA" w:rsidRPr="00853666" w:rsidRDefault="00B66A10">
      <w:pPr>
        <w:jc w:val="both"/>
        <w:rPr>
          <w:rFonts w:ascii="Monsserrat" w:hAnsi="Monsserrat"/>
          <w:b/>
          <w:sz w:val="26"/>
          <w:szCs w:val="26"/>
        </w:rPr>
      </w:pPr>
      <w:r w:rsidRPr="00853666">
        <w:rPr>
          <w:rFonts w:ascii="Monsserrat" w:hAnsi="Monsserrat"/>
          <w:b/>
          <w:sz w:val="26"/>
          <w:szCs w:val="26"/>
        </w:rPr>
        <w:t>Activo</w:t>
      </w:r>
    </w:p>
    <w:p w14:paraId="171F0092" w14:textId="77777777" w:rsidR="009C05EA" w:rsidRPr="00853666" w:rsidRDefault="009C05EA">
      <w:pPr>
        <w:jc w:val="both"/>
        <w:rPr>
          <w:rFonts w:ascii="Monsserrat" w:hAnsi="Monsserrat"/>
          <w:sz w:val="26"/>
          <w:szCs w:val="26"/>
        </w:rPr>
      </w:pPr>
    </w:p>
    <w:p w14:paraId="1B65ACB8" w14:textId="77777777" w:rsidR="009C05EA" w:rsidRPr="00853666" w:rsidRDefault="00B66A10">
      <w:pPr>
        <w:jc w:val="both"/>
        <w:rPr>
          <w:rFonts w:ascii="Monsserrat" w:hAnsi="Monsserrat"/>
          <w:sz w:val="26"/>
          <w:szCs w:val="26"/>
        </w:rPr>
      </w:pPr>
      <w:r w:rsidRPr="00853666">
        <w:rPr>
          <w:rFonts w:ascii="Monsserrat" w:hAnsi="Monsserrat"/>
          <w:sz w:val="26"/>
          <w:szCs w:val="26"/>
        </w:rPr>
        <w:t>El activo se compone de los fondos, valores, derechos y bienes cuantificados en términos monetarios, los cuales controla y dispone el Poder Ejecutivo para la prestación de servicios públicos, este se integra como sigue:</w:t>
      </w:r>
    </w:p>
    <w:p w14:paraId="269FD3DB" w14:textId="77777777" w:rsidR="009C05EA" w:rsidRPr="00853666" w:rsidRDefault="009C05EA">
      <w:pPr>
        <w:jc w:val="both"/>
        <w:rPr>
          <w:rFonts w:ascii="Monsserrat" w:hAnsi="Monsserrat"/>
          <w:b/>
          <w:sz w:val="26"/>
          <w:szCs w:val="26"/>
          <w:u w:val="single"/>
        </w:rPr>
      </w:pPr>
    </w:p>
    <w:p w14:paraId="5C8F3732" w14:textId="77777777" w:rsidR="009C05EA" w:rsidRPr="00853666" w:rsidRDefault="009C05EA">
      <w:pPr>
        <w:jc w:val="both"/>
        <w:rPr>
          <w:rFonts w:ascii="Monsserrat" w:hAnsi="Monsserrat"/>
          <w:b/>
          <w:sz w:val="26"/>
          <w:szCs w:val="26"/>
          <w:u w:val="single"/>
        </w:rPr>
      </w:pPr>
    </w:p>
    <w:p w14:paraId="7D4573AB" w14:textId="77777777" w:rsidR="00D83709" w:rsidRPr="00853666" w:rsidRDefault="00D83709">
      <w:pPr>
        <w:jc w:val="both"/>
        <w:rPr>
          <w:rFonts w:ascii="Monsserrat" w:hAnsi="Monsserrat"/>
          <w:b/>
          <w:sz w:val="26"/>
          <w:szCs w:val="26"/>
          <w:u w:val="single"/>
        </w:rPr>
      </w:pPr>
    </w:p>
    <w:p w14:paraId="6C7366A6" w14:textId="77777777" w:rsidR="009C05EA" w:rsidRPr="00853666" w:rsidRDefault="00B66A10">
      <w:pPr>
        <w:jc w:val="both"/>
        <w:rPr>
          <w:rFonts w:ascii="Monsserrat" w:hAnsi="Monsserrat"/>
          <w:b/>
          <w:sz w:val="26"/>
          <w:szCs w:val="26"/>
          <w:u w:val="single"/>
        </w:rPr>
      </w:pPr>
      <w:r w:rsidRPr="00853666">
        <w:rPr>
          <w:rFonts w:ascii="Monsserrat" w:hAnsi="Monsserrat"/>
          <w:b/>
          <w:sz w:val="26"/>
          <w:szCs w:val="26"/>
          <w:u w:val="single"/>
        </w:rPr>
        <w:t>Circulante.</w:t>
      </w:r>
    </w:p>
    <w:p w14:paraId="2235CE24" w14:textId="77777777" w:rsidR="009C05EA" w:rsidRPr="00853666" w:rsidRDefault="009C05EA">
      <w:pPr>
        <w:jc w:val="both"/>
        <w:rPr>
          <w:rFonts w:ascii="Monsserrat" w:hAnsi="Monsserrat"/>
          <w:sz w:val="26"/>
          <w:szCs w:val="26"/>
        </w:rPr>
      </w:pPr>
    </w:p>
    <w:p w14:paraId="0531FAD9" w14:textId="77777777" w:rsidR="00D83709" w:rsidRPr="00853666" w:rsidRDefault="00D83709">
      <w:pPr>
        <w:jc w:val="both"/>
        <w:rPr>
          <w:rFonts w:ascii="Monsserrat" w:hAnsi="Monsserrat"/>
          <w:sz w:val="26"/>
          <w:szCs w:val="26"/>
        </w:rPr>
      </w:pPr>
    </w:p>
    <w:p w14:paraId="6970FA0C" w14:textId="77777777" w:rsidR="009C05EA" w:rsidRPr="00853666" w:rsidRDefault="00B66A10">
      <w:pPr>
        <w:jc w:val="both"/>
        <w:rPr>
          <w:rFonts w:ascii="Monsserrat" w:hAnsi="Monsserrat"/>
          <w:sz w:val="26"/>
          <w:szCs w:val="26"/>
        </w:rPr>
      </w:pPr>
      <w:r w:rsidRPr="00853666">
        <w:rPr>
          <w:rFonts w:ascii="Monsserrat" w:hAnsi="Monsserrat"/>
          <w:b/>
          <w:sz w:val="26"/>
          <w:szCs w:val="26"/>
        </w:rPr>
        <w:t>Al Estado de Situación de Financiera del Poder Ejecutivo Consolidado</w:t>
      </w:r>
    </w:p>
    <w:p w14:paraId="2E358670" w14:textId="77777777" w:rsidR="009C05EA" w:rsidRPr="00853666" w:rsidRDefault="009C05EA">
      <w:pPr>
        <w:jc w:val="both"/>
        <w:rPr>
          <w:rFonts w:ascii="Monsserrat" w:hAnsi="Monsserrat"/>
          <w:b/>
          <w:sz w:val="26"/>
          <w:szCs w:val="26"/>
        </w:rPr>
      </w:pPr>
    </w:p>
    <w:p w14:paraId="567335A0" w14:textId="77777777" w:rsidR="009C05EA" w:rsidRPr="00853666" w:rsidRDefault="009C05EA">
      <w:pPr>
        <w:jc w:val="both"/>
        <w:rPr>
          <w:rFonts w:ascii="Monsserrat" w:hAnsi="Monsserrat"/>
          <w:b/>
          <w:sz w:val="26"/>
          <w:szCs w:val="26"/>
        </w:rPr>
      </w:pPr>
    </w:p>
    <w:p w14:paraId="1CDD2B25" w14:textId="77777777" w:rsidR="009C05EA" w:rsidRPr="00853666" w:rsidRDefault="00B66A10">
      <w:pPr>
        <w:jc w:val="both"/>
        <w:rPr>
          <w:rFonts w:ascii="Monsserrat" w:hAnsi="Monsserrat"/>
          <w:b/>
          <w:sz w:val="26"/>
          <w:szCs w:val="26"/>
        </w:rPr>
      </w:pPr>
      <w:r w:rsidRPr="00853666">
        <w:rPr>
          <w:rFonts w:ascii="Monsserrat" w:hAnsi="Monsserrat"/>
          <w:b/>
          <w:sz w:val="26"/>
          <w:szCs w:val="26"/>
        </w:rPr>
        <w:t>Nota 1.- Efectivo y Equivalentes.</w:t>
      </w:r>
    </w:p>
    <w:p w14:paraId="6BCCF31F" w14:textId="77777777" w:rsidR="009C05EA" w:rsidRPr="00853666" w:rsidRDefault="009C05EA">
      <w:pPr>
        <w:jc w:val="both"/>
        <w:rPr>
          <w:rFonts w:ascii="Monsserrat" w:hAnsi="Monsserrat"/>
          <w:sz w:val="26"/>
          <w:szCs w:val="26"/>
        </w:rPr>
      </w:pPr>
    </w:p>
    <w:p w14:paraId="3097CD72" w14:textId="77777777" w:rsidR="009C05EA" w:rsidRPr="00853666" w:rsidRDefault="009C05EA">
      <w:pPr>
        <w:jc w:val="both"/>
        <w:rPr>
          <w:rFonts w:ascii="Monsserrat" w:hAnsi="Monsserrat"/>
          <w:sz w:val="26"/>
          <w:szCs w:val="26"/>
        </w:rPr>
      </w:pPr>
    </w:p>
    <w:p w14:paraId="4AB15885" w14:textId="77777777" w:rsidR="009C05EA" w:rsidRPr="00853666" w:rsidRDefault="00B66A10">
      <w:pPr>
        <w:jc w:val="both"/>
        <w:rPr>
          <w:rFonts w:ascii="Monsserrat" w:hAnsi="Monsserrat"/>
          <w:sz w:val="26"/>
          <w:szCs w:val="26"/>
        </w:rPr>
      </w:pPr>
      <w:r w:rsidRPr="00853666">
        <w:rPr>
          <w:rFonts w:ascii="Monsserrat" w:hAnsi="Monsserrat"/>
          <w:sz w:val="26"/>
          <w:szCs w:val="26"/>
        </w:rPr>
        <w:t xml:space="preserve">Este rubro representa la disponibilidad que tiene el Poder Ejecutivo para realizar pagos a corto plazo a prestadores de bienes y servicios, y por retenciones de Impuestos a enterar a los Servicios de Administración Tributaria (SAT) de la </w:t>
      </w:r>
      <w:proofErr w:type="gramStart"/>
      <w:r w:rsidRPr="00853666">
        <w:rPr>
          <w:rFonts w:ascii="Monsserrat" w:hAnsi="Monsserrat"/>
          <w:sz w:val="26"/>
          <w:szCs w:val="26"/>
        </w:rPr>
        <w:t>Secretaria</w:t>
      </w:r>
      <w:proofErr w:type="gramEnd"/>
      <w:r w:rsidRPr="00853666">
        <w:rPr>
          <w:rFonts w:ascii="Monsserrat" w:hAnsi="Monsserrat"/>
          <w:sz w:val="26"/>
          <w:szCs w:val="26"/>
        </w:rPr>
        <w:t xml:space="preserve"> de Hacienda Y Crédito Público por concepto de honorarios y sueldos y salarios.</w:t>
      </w:r>
    </w:p>
    <w:p w14:paraId="109DB272" w14:textId="77777777" w:rsidR="009C05EA" w:rsidRPr="00853666" w:rsidRDefault="009C05EA">
      <w:pPr>
        <w:jc w:val="both"/>
        <w:rPr>
          <w:rFonts w:ascii="Monsserrat" w:hAnsi="Monsserrat"/>
          <w:sz w:val="26"/>
          <w:szCs w:val="26"/>
        </w:rPr>
      </w:pPr>
    </w:p>
    <w:p w14:paraId="0CD387E0" w14:textId="77777777" w:rsidR="009C05EA" w:rsidRPr="00853666" w:rsidRDefault="00B66A10">
      <w:pPr>
        <w:jc w:val="both"/>
        <w:rPr>
          <w:rFonts w:ascii="Monsserrat" w:hAnsi="Monsserrat"/>
          <w:sz w:val="26"/>
          <w:szCs w:val="26"/>
        </w:rPr>
      </w:pPr>
      <w:r w:rsidRPr="00853666">
        <w:rPr>
          <w:rFonts w:ascii="Monsserrat" w:hAnsi="Monsserrat"/>
          <w:sz w:val="26"/>
          <w:szCs w:val="26"/>
        </w:rPr>
        <w:t>Esta disponibilidad al cierre del periodo enero-junio 2022, se encuentra integrada de la siguiente manera:</w:t>
      </w:r>
    </w:p>
    <w:p w14:paraId="2A10424A" w14:textId="77777777" w:rsidR="009C05EA" w:rsidRPr="00853666" w:rsidRDefault="009C05EA">
      <w:pPr>
        <w:rPr>
          <w:rFonts w:ascii="Monsserrat" w:hAnsi="Monsserrat"/>
          <w:b/>
          <w:sz w:val="26"/>
          <w:szCs w:val="26"/>
        </w:rPr>
      </w:pPr>
    </w:p>
    <w:p w14:paraId="4CCBE746" w14:textId="77777777" w:rsidR="009C05EA" w:rsidRPr="00853666" w:rsidRDefault="009C05EA">
      <w:pPr>
        <w:jc w:val="center"/>
        <w:rPr>
          <w:rFonts w:ascii="Monsserrat" w:hAnsi="Monsserrat"/>
          <w:b/>
          <w:sz w:val="26"/>
          <w:szCs w:val="26"/>
        </w:rPr>
      </w:pPr>
    </w:p>
    <w:p w14:paraId="457452D4" w14:textId="77777777" w:rsidR="009C05EA" w:rsidRPr="00853666" w:rsidRDefault="00B66A10">
      <w:pPr>
        <w:jc w:val="center"/>
        <w:rPr>
          <w:rFonts w:ascii="Monsserrat" w:hAnsi="Monsserrat"/>
          <w:b/>
          <w:sz w:val="26"/>
          <w:szCs w:val="26"/>
        </w:rPr>
      </w:pPr>
      <w:r w:rsidRPr="00853666">
        <w:rPr>
          <w:rFonts w:ascii="Monsserrat" w:hAnsi="Monsserrat"/>
          <w:b/>
          <w:sz w:val="26"/>
          <w:szCs w:val="26"/>
        </w:rPr>
        <w:t>(Pesos)</w:t>
      </w:r>
    </w:p>
    <w:tbl>
      <w:tblPr>
        <w:tblW w:w="9115" w:type="dxa"/>
        <w:tblInd w:w="55" w:type="dxa"/>
        <w:tblCellMar>
          <w:left w:w="70" w:type="dxa"/>
          <w:right w:w="70" w:type="dxa"/>
        </w:tblCellMar>
        <w:tblLook w:val="04A0" w:firstRow="1" w:lastRow="0" w:firstColumn="1" w:lastColumn="0" w:noHBand="0" w:noVBand="1"/>
      </w:tblPr>
      <w:tblGrid>
        <w:gridCol w:w="4754"/>
        <w:gridCol w:w="2377"/>
        <w:gridCol w:w="1984"/>
      </w:tblGrid>
      <w:tr w:rsidR="00160031" w:rsidRPr="00853666" w14:paraId="36E21894" w14:textId="77777777" w:rsidTr="001B07C1">
        <w:trPr>
          <w:trHeight w:val="325"/>
        </w:trPr>
        <w:tc>
          <w:tcPr>
            <w:tcW w:w="475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A9A6629"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77" w:type="dxa"/>
            <w:tcBorders>
              <w:top w:val="single" w:sz="8" w:space="0" w:color="auto"/>
              <w:left w:val="nil"/>
              <w:bottom w:val="single" w:sz="8" w:space="0" w:color="auto"/>
              <w:right w:val="single" w:sz="8" w:space="0" w:color="auto"/>
            </w:tcBorders>
            <w:shd w:val="clear" w:color="000000" w:fill="828282"/>
            <w:vAlign w:val="center"/>
            <w:hideMark/>
          </w:tcPr>
          <w:p w14:paraId="304DEFE3"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84" w:type="dxa"/>
            <w:tcBorders>
              <w:top w:val="single" w:sz="8" w:space="0" w:color="auto"/>
              <w:left w:val="nil"/>
              <w:bottom w:val="single" w:sz="8" w:space="0" w:color="auto"/>
              <w:right w:val="single" w:sz="8" w:space="0" w:color="auto"/>
            </w:tcBorders>
            <w:shd w:val="clear" w:color="000000" w:fill="828282"/>
            <w:vAlign w:val="center"/>
            <w:hideMark/>
          </w:tcPr>
          <w:p w14:paraId="38F8ABC3"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160031" w:rsidRPr="00853666" w14:paraId="21420B24" w14:textId="77777777" w:rsidTr="001B07C1">
        <w:trPr>
          <w:trHeight w:val="310"/>
        </w:trPr>
        <w:tc>
          <w:tcPr>
            <w:tcW w:w="4754" w:type="dxa"/>
            <w:tcBorders>
              <w:top w:val="nil"/>
              <w:left w:val="single" w:sz="8" w:space="0" w:color="auto"/>
              <w:bottom w:val="nil"/>
              <w:right w:val="single" w:sz="8" w:space="0" w:color="auto"/>
            </w:tcBorders>
            <w:shd w:val="clear" w:color="000000" w:fill="FFFFFF"/>
            <w:vAlign w:val="center"/>
            <w:hideMark/>
          </w:tcPr>
          <w:p w14:paraId="1AD5BD36"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Efectivo</w:t>
            </w:r>
          </w:p>
        </w:tc>
        <w:tc>
          <w:tcPr>
            <w:tcW w:w="2377" w:type="dxa"/>
            <w:tcBorders>
              <w:top w:val="nil"/>
              <w:left w:val="nil"/>
              <w:bottom w:val="nil"/>
              <w:right w:val="single" w:sz="8" w:space="0" w:color="auto"/>
            </w:tcBorders>
            <w:shd w:val="clear" w:color="000000" w:fill="FFFFFF"/>
            <w:vAlign w:val="center"/>
            <w:hideMark/>
          </w:tcPr>
          <w:p w14:paraId="14C8731F"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719,555</w:t>
            </w:r>
          </w:p>
        </w:tc>
        <w:tc>
          <w:tcPr>
            <w:tcW w:w="1984" w:type="dxa"/>
            <w:tcBorders>
              <w:top w:val="nil"/>
              <w:left w:val="nil"/>
              <w:bottom w:val="nil"/>
              <w:right w:val="single" w:sz="8" w:space="0" w:color="auto"/>
            </w:tcBorders>
            <w:shd w:val="clear" w:color="000000" w:fill="FFFFFF"/>
            <w:vAlign w:val="center"/>
            <w:hideMark/>
          </w:tcPr>
          <w:p w14:paraId="68F53012"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972,403</w:t>
            </w:r>
          </w:p>
        </w:tc>
      </w:tr>
      <w:tr w:rsidR="00160031" w:rsidRPr="00853666" w14:paraId="4229DC53" w14:textId="77777777" w:rsidTr="001B07C1">
        <w:trPr>
          <w:trHeight w:val="310"/>
        </w:trPr>
        <w:tc>
          <w:tcPr>
            <w:tcW w:w="4754" w:type="dxa"/>
            <w:tcBorders>
              <w:top w:val="nil"/>
              <w:left w:val="single" w:sz="8" w:space="0" w:color="auto"/>
              <w:bottom w:val="nil"/>
              <w:right w:val="single" w:sz="8" w:space="0" w:color="auto"/>
            </w:tcBorders>
            <w:shd w:val="clear" w:color="000000" w:fill="FFFFFF"/>
            <w:vAlign w:val="center"/>
            <w:hideMark/>
          </w:tcPr>
          <w:p w14:paraId="7DB22D6E"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Bancos/Tesorería</w:t>
            </w:r>
          </w:p>
        </w:tc>
        <w:tc>
          <w:tcPr>
            <w:tcW w:w="2377" w:type="dxa"/>
            <w:tcBorders>
              <w:top w:val="nil"/>
              <w:left w:val="nil"/>
              <w:bottom w:val="nil"/>
              <w:right w:val="single" w:sz="8" w:space="0" w:color="auto"/>
            </w:tcBorders>
            <w:shd w:val="clear" w:color="000000" w:fill="FFFFFF"/>
            <w:vAlign w:val="center"/>
            <w:hideMark/>
          </w:tcPr>
          <w:p w14:paraId="3785CE7F"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3,115,335,010</w:t>
            </w:r>
          </w:p>
        </w:tc>
        <w:tc>
          <w:tcPr>
            <w:tcW w:w="1984" w:type="dxa"/>
            <w:tcBorders>
              <w:top w:val="nil"/>
              <w:left w:val="nil"/>
              <w:bottom w:val="nil"/>
              <w:right w:val="single" w:sz="8" w:space="0" w:color="auto"/>
            </w:tcBorders>
            <w:shd w:val="clear" w:color="000000" w:fill="FFFFFF"/>
            <w:vAlign w:val="center"/>
            <w:hideMark/>
          </w:tcPr>
          <w:p w14:paraId="234FA997"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2,683,095,837</w:t>
            </w:r>
          </w:p>
        </w:tc>
      </w:tr>
      <w:tr w:rsidR="00160031" w:rsidRPr="00853666" w14:paraId="527EB16A" w14:textId="77777777" w:rsidTr="001B07C1">
        <w:trPr>
          <w:trHeight w:val="310"/>
        </w:trPr>
        <w:tc>
          <w:tcPr>
            <w:tcW w:w="4754" w:type="dxa"/>
            <w:tcBorders>
              <w:top w:val="nil"/>
              <w:left w:val="single" w:sz="8" w:space="0" w:color="auto"/>
              <w:bottom w:val="nil"/>
              <w:right w:val="single" w:sz="8" w:space="0" w:color="auto"/>
            </w:tcBorders>
            <w:shd w:val="clear" w:color="000000" w:fill="FFFFFF"/>
            <w:vAlign w:val="center"/>
            <w:hideMark/>
          </w:tcPr>
          <w:p w14:paraId="5AF62727"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Bancos/Dependencias Y Otros</w:t>
            </w:r>
          </w:p>
        </w:tc>
        <w:tc>
          <w:tcPr>
            <w:tcW w:w="2377" w:type="dxa"/>
            <w:tcBorders>
              <w:top w:val="nil"/>
              <w:left w:val="nil"/>
              <w:bottom w:val="nil"/>
              <w:right w:val="single" w:sz="8" w:space="0" w:color="auto"/>
            </w:tcBorders>
            <w:shd w:val="clear" w:color="000000" w:fill="FFFFFF"/>
            <w:vAlign w:val="center"/>
            <w:hideMark/>
          </w:tcPr>
          <w:p w14:paraId="3048FC8E"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411,408,137</w:t>
            </w:r>
          </w:p>
        </w:tc>
        <w:tc>
          <w:tcPr>
            <w:tcW w:w="1984" w:type="dxa"/>
            <w:tcBorders>
              <w:top w:val="nil"/>
              <w:left w:val="nil"/>
              <w:bottom w:val="nil"/>
              <w:right w:val="single" w:sz="8" w:space="0" w:color="auto"/>
            </w:tcBorders>
            <w:shd w:val="clear" w:color="000000" w:fill="FFFFFF"/>
            <w:vAlign w:val="center"/>
            <w:hideMark/>
          </w:tcPr>
          <w:p w14:paraId="7B0D90F3"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384,071,630</w:t>
            </w:r>
          </w:p>
        </w:tc>
      </w:tr>
      <w:tr w:rsidR="00160031" w:rsidRPr="00853666" w14:paraId="7044DEDF" w14:textId="77777777" w:rsidTr="001B07C1">
        <w:trPr>
          <w:trHeight w:val="325"/>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61690227"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Inversiones Temporales (Hasta 3 Meses)</w:t>
            </w:r>
          </w:p>
        </w:tc>
        <w:tc>
          <w:tcPr>
            <w:tcW w:w="2377" w:type="dxa"/>
            <w:tcBorders>
              <w:top w:val="nil"/>
              <w:left w:val="nil"/>
              <w:bottom w:val="single" w:sz="8" w:space="0" w:color="auto"/>
              <w:right w:val="single" w:sz="8" w:space="0" w:color="auto"/>
            </w:tcBorders>
            <w:shd w:val="clear" w:color="000000" w:fill="FFFFFF"/>
            <w:vAlign w:val="center"/>
            <w:hideMark/>
          </w:tcPr>
          <w:p w14:paraId="1484796C"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2,844,478,097</w:t>
            </w:r>
          </w:p>
        </w:tc>
        <w:tc>
          <w:tcPr>
            <w:tcW w:w="1984" w:type="dxa"/>
            <w:tcBorders>
              <w:top w:val="nil"/>
              <w:left w:val="nil"/>
              <w:bottom w:val="single" w:sz="8" w:space="0" w:color="auto"/>
              <w:right w:val="single" w:sz="8" w:space="0" w:color="auto"/>
            </w:tcBorders>
            <w:shd w:val="clear" w:color="000000" w:fill="FFFFFF"/>
            <w:vAlign w:val="center"/>
            <w:hideMark/>
          </w:tcPr>
          <w:p w14:paraId="3932E340"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1,432,090,795</w:t>
            </w:r>
          </w:p>
        </w:tc>
      </w:tr>
      <w:tr w:rsidR="00160031" w:rsidRPr="00853666" w14:paraId="7755FA20" w14:textId="77777777" w:rsidTr="001B07C1">
        <w:trPr>
          <w:trHeight w:val="325"/>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1D26FBF0" w14:textId="77777777" w:rsidR="00160031" w:rsidRPr="00853666" w:rsidRDefault="00160031" w:rsidP="00160031">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77" w:type="dxa"/>
            <w:tcBorders>
              <w:top w:val="nil"/>
              <w:left w:val="nil"/>
              <w:bottom w:val="single" w:sz="8" w:space="0" w:color="auto"/>
              <w:right w:val="single" w:sz="8" w:space="0" w:color="auto"/>
            </w:tcBorders>
            <w:shd w:val="clear" w:color="000000" w:fill="FFFFFF"/>
            <w:noWrap/>
            <w:vAlign w:val="center"/>
            <w:hideMark/>
          </w:tcPr>
          <w:p w14:paraId="7B9BE174" w14:textId="77777777" w:rsidR="00160031" w:rsidRPr="00853666" w:rsidRDefault="00B34987" w:rsidP="00160031">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6,371,940,799</w:t>
            </w:r>
          </w:p>
        </w:tc>
        <w:tc>
          <w:tcPr>
            <w:tcW w:w="1984" w:type="dxa"/>
            <w:tcBorders>
              <w:top w:val="nil"/>
              <w:left w:val="nil"/>
              <w:bottom w:val="single" w:sz="8" w:space="0" w:color="auto"/>
              <w:right w:val="single" w:sz="8" w:space="0" w:color="auto"/>
            </w:tcBorders>
            <w:shd w:val="clear" w:color="000000" w:fill="FFFFFF"/>
            <w:noWrap/>
            <w:vAlign w:val="center"/>
            <w:hideMark/>
          </w:tcPr>
          <w:p w14:paraId="262512FB" w14:textId="77777777" w:rsidR="00160031" w:rsidRPr="00853666" w:rsidRDefault="00160031" w:rsidP="00160031">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4,500,230,665</w:t>
            </w:r>
          </w:p>
        </w:tc>
      </w:tr>
    </w:tbl>
    <w:p w14:paraId="3869A0C0" w14:textId="77777777" w:rsidR="009C05EA" w:rsidRPr="00853666" w:rsidRDefault="009C05EA">
      <w:pPr>
        <w:jc w:val="both"/>
        <w:rPr>
          <w:rFonts w:ascii="Monsserrat" w:hAnsi="Monsserrat"/>
          <w:sz w:val="26"/>
          <w:szCs w:val="26"/>
        </w:rPr>
      </w:pPr>
    </w:p>
    <w:p w14:paraId="3AA7E493" w14:textId="77777777" w:rsidR="009C05EA" w:rsidRPr="00853666" w:rsidRDefault="00B66A10">
      <w:pPr>
        <w:jc w:val="both"/>
        <w:rPr>
          <w:rFonts w:ascii="Monsserrat" w:hAnsi="Monsserrat"/>
          <w:b/>
          <w:sz w:val="26"/>
          <w:szCs w:val="26"/>
        </w:rPr>
      </w:pPr>
      <w:r w:rsidRPr="00853666">
        <w:rPr>
          <w:rFonts w:ascii="Monsserrat" w:hAnsi="Monsserrat"/>
          <w:b/>
          <w:sz w:val="26"/>
          <w:szCs w:val="26"/>
        </w:rPr>
        <w:t>Nota 2.- Derechos a Recibir Efectivo y Equivalentes.</w:t>
      </w:r>
    </w:p>
    <w:p w14:paraId="55F8A25C" w14:textId="77777777" w:rsidR="009C05EA" w:rsidRPr="00853666" w:rsidRDefault="009C05EA">
      <w:pPr>
        <w:jc w:val="both"/>
        <w:rPr>
          <w:rFonts w:ascii="Monsserrat" w:hAnsi="Monsserrat"/>
          <w:b/>
          <w:sz w:val="26"/>
          <w:szCs w:val="26"/>
        </w:rPr>
      </w:pPr>
    </w:p>
    <w:p w14:paraId="55DB641B" w14:textId="77777777" w:rsidR="009C05EA" w:rsidRPr="00853666" w:rsidRDefault="00B66A10">
      <w:pPr>
        <w:rPr>
          <w:rFonts w:ascii="Monsserrat" w:hAnsi="Monsserrat"/>
          <w:sz w:val="26"/>
          <w:szCs w:val="26"/>
        </w:rPr>
      </w:pPr>
      <w:r w:rsidRPr="00853666">
        <w:rPr>
          <w:rFonts w:ascii="Monsserrat" w:hAnsi="Monsserrat"/>
          <w:sz w:val="26"/>
          <w:szCs w:val="26"/>
        </w:rPr>
        <w:t>Este rubro del Poder Ejecutivo se integra del saldo de Cuentas por Cobrar y Deudores Diversos a Corto plazo, por Derechos a Recibir Efectivo y Equivalentes que tienen los entes públicos que lo conforman y los cuales al cierre del periodo enero-junio de 2022 y 2021 se encuentran integrados de:</w:t>
      </w:r>
    </w:p>
    <w:p w14:paraId="5C9C42B6" w14:textId="77777777" w:rsidR="009C05EA" w:rsidRPr="00853666" w:rsidRDefault="009C05EA">
      <w:pPr>
        <w:widowControl w:val="0"/>
        <w:jc w:val="both"/>
        <w:rPr>
          <w:rFonts w:ascii="Monsserrat" w:hAnsi="Monsserrat"/>
          <w:sz w:val="26"/>
          <w:szCs w:val="26"/>
        </w:rPr>
      </w:pPr>
    </w:p>
    <w:p w14:paraId="71B83753" w14:textId="77777777" w:rsidR="009C05EA" w:rsidRPr="00853666" w:rsidRDefault="00B66A10">
      <w:pPr>
        <w:pBdr>
          <w:top w:val="nil"/>
          <w:left w:val="nil"/>
          <w:bottom w:val="nil"/>
          <w:right w:val="nil"/>
          <w:between w:val="nil"/>
        </w:pBdr>
        <w:jc w:val="center"/>
        <w:rPr>
          <w:rFonts w:ascii="Monsserrat" w:hAnsi="Monsserrat"/>
          <w:b/>
          <w:sz w:val="26"/>
          <w:szCs w:val="26"/>
        </w:rPr>
      </w:pPr>
      <w:r w:rsidRPr="00853666">
        <w:rPr>
          <w:rFonts w:ascii="Monsserrat" w:hAnsi="Monsserrat"/>
          <w:b/>
          <w:sz w:val="26"/>
          <w:szCs w:val="26"/>
        </w:rPr>
        <w:t>(Pesos)</w:t>
      </w:r>
    </w:p>
    <w:tbl>
      <w:tblPr>
        <w:tblW w:w="9115" w:type="dxa"/>
        <w:tblInd w:w="55" w:type="dxa"/>
        <w:tblCellMar>
          <w:left w:w="70" w:type="dxa"/>
          <w:right w:w="70" w:type="dxa"/>
        </w:tblCellMar>
        <w:tblLook w:val="04A0" w:firstRow="1" w:lastRow="0" w:firstColumn="1" w:lastColumn="0" w:noHBand="0" w:noVBand="1"/>
      </w:tblPr>
      <w:tblGrid>
        <w:gridCol w:w="4754"/>
        <w:gridCol w:w="2377"/>
        <w:gridCol w:w="1984"/>
      </w:tblGrid>
      <w:tr w:rsidR="00160031" w:rsidRPr="00853666" w14:paraId="3E09AF25" w14:textId="77777777" w:rsidTr="00B34987">
        <w:trPr>
          <w:trHeight w:val="327"/>
        </w:trPr>
        <w:tc>
          <w:tcPr>
            <w:tcW w:w="475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32F6AFB"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77" w:type="dxa"/>
            <w:tcBorders>
              <w:top w:val="single" w:sz="8" w:space="0" w:color="auto"/>
              <w:left w:val="nil"/>
              <w:bottom w:val="single" w:sz="8" w:space="0" w:color="auto"/>
              <w:right w:val="single" w:sz="8" w:space="0" w:color="auto"/>
            </w:tcBorders>
            <w:shd w:val="clear" w:color="000000" w:fill="828282"/>
            <w:vAlign w:val="center"/>
            <w:hideMark/>
          </w:tcPr>
          <w:p w14:paraId="0D27F488"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84" w:type="dxa"/>
            <w:tcBorders>
              <w:top w:val="single" w:sz="8" w:space="0" w:color="auto"/>
              <w:left w:val="nil"/>
              <w:bottom w:val="single" w:sz="8" w:space="0" w:color="auto"/>
              <w:right w:val="single" w:sz="8" w:space="0" w:color="auto"/>
            </w:tcBorders>
            <w:shd w:val="clear" w:color="000000" w:fill="828282"/>
            <w:vAlign w:val="center"/>
            <w:hideMark/>
          </w:tcPr>
          <w:p w14:paraId="50DCB49C"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160031" w:rsidRPr="00853666" w14:paraId="3E503091" w14:textId="77777777" w:rsidTr="00B34987">
        <w:trPr>
          <w:trHeight w:val="312"/>
        </w:trPr>
        <w:tc>
          <w:tcPr>
            <w:tcW w:w="4754" w:type="dxa"/>
            <w:tcBorders>
              <w:top w:val="nil"/>
              <w:left w:val="single" w:sz="8" w:space="0" w:color="auto"/>
              <w:bottom w:val="nil"/>
              <w:right w:val="single" w:sz="8" w:space="0" w:color="auto"/>
            </w:tcBorders>
            <w:shd w:val="clear" w:color="auto" w:fill="auto"/>
            <w:vAlign w:val="center"/>
            <w:hideMark/>
          </w:tcPr>
          <w:p w14:paraId="1490FC8E"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Cuentas Por Cobrar A Corto Plazo</w:t>
            </w:r>
          </w:p>
        </w:tc>
        <w:tc>
          <w:tcPr>
            <w:tcW w:w="2377" w:type="dxa"/>
            <w:tcBorders>
              <w:top w:val="nil"/>
              <w:left w:val="nil"/>
              <w:bottom w:val="nil"/>
              <w:right w:val="single" w:sz="8" w:space="0" w:color="auto"/>
            </w:tcBorders>
            <w:shd w:val="clear" w:color="000000" w:fill="FFFFFF"/>
            <w:vAlign w:val="center"/>
            <w:hideMark/>
          </w:tcPr>
          <w:p w14:paraId="19358C76"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36,313,818</w:t>
            </w:r>
          </w:p>
        </w:tc>
        <w:tc>
          <w:tcPr>
            <w:tcW w:w="1984" w:type="dxa"/>
            <w:tcBorders>
              <w:top w:val="nil"/>
              <w:left w:val="nil"/>
              <w:bottom w:val="nil"/>
              <w:right w:val="single" w:sz="8" w:space="0" w:color="auto"/>
            </w:tcBorders>
            <w:shd w:val="clear" w:color="000000" w:fill="FFFFFF"/>
            <w:vAlign w:val="center"/>
            <w:hideMark/>
          </w:tcPr>
          <w:p w14:paraId="365A392C"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128,333,499</w:t>
            </w:r>
          </w:p>
        </w:tc>
      </w:tr>
      <w:tr w:rsidR="00160031" w:rsidRPr="00853666" w14:paraId="28F043EE" w14:textId="77777777" w:rsidTr="00B34987">
        <w:trPr>
          <w:trHeight w:val="624"/>
        </w:trPr>
        <w:tc>
          <w:tcPr>
            <w:tcW w:w="4754" w:type="dxa"/>
            <w:tcBorders>
              <w:top w:val="nil"/>
              <w:left w:val="single" w:sz="8" w:space="0" w:color="auto"/>
              <w:bottom w:val="nil"/>
              <w:right w:val="single" w:sz="8" w:space="0" w:color="auto"/>
            </w:tcBorders>
            <w:shd w:val="clear" w:color="auto" w:fill="auto"/>
            <w:vAlign w:val="center"/>
            <w:hideMark/>
          </w:tcPr>
          <w:p w14:paraId="2563ED84"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Deudores Diversos Por Cobrar A Corto Plazo</w:t>
            </w:r>
          </w:p>
        </w:tc>
        <w:tc>
          <w:tcPr>
            <w:tcW w:w="2377" w:type="dxa"/>
            <w:tcBorders>
              <w:top w:val="nil"/>
              <w:left w:val="nil"/>
              <w:bottom w:val="nil"/>
              <w:right w:val="single" w:sz="8" w:space="0" w:color="auto"/>
            </w:tcBorders>
            <w:shd w:val="clear" w:color="000000" w:fill="FFFFFF"/>
            <w:vAlign w:val="center"/>
            <w:hideMark/>
          </w:tcPr>
          <w:p w14:paraId="059B9555"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1,577,976,393</w:t>
            </w:r>
          </w:p>
        </w:tc>
        <w:tc>
          <w:tcPr>
            <w:tcW w:w="1984" w:type="dxa"/>
            <w:tcBorders>
              <w:top w:val="nil"/>
              <w:left w:val="nil"/>
              <w:bottom w:val="nil"/>
              <w:right w:val="single" w:sz="8" w:space="0" w:color="auto"/>
            </w:tcBorders>
            <w:shd w:val="clear" w:color="000000" w:fill="FFFFFF"/>
            <w:vAlign w:val="center"/>
            <w:hideMark/>
          </w:tcPr>
          <w:p w14:paraId="3CBC9015"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2,831,543,548</w:t>
            </w:r>
          </w:p>
        </w:tc>
      </w:tr>
      <w:tr w:rsidR="00160031" w:rsidRPr="00853666" w14:paraId="2ABCE8D8" w14:textId="77777777" w:rsidTr="00B34987">
        <w:trPr>
          <w:trHeight w:val="312"/>
        </w:trPr>
        <w:tc>
          <w:tcPr>
            <w:tcW w:w="4754" w:type="dxa"/>
            <w:tcBorders>
              <w:top w:val="nil"/>
              <w:left w:val="single" w:sz="8" w:space="0" w:color="auto"/>
              <w:bottom w:val="nil"/>
              <w:right w:val="single" w:sz="8" w:space="0" w:color="auto"/>
            </w:tcBorders>
            <w:shd w:val="clear" w:color="000000" w:fill="FFFFFF"/>
            <w:vAlign w:val="center"/>
            <w:hideMark/>
          </w:tcPr>
          <w:p w14:paraId="246AD42F"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Ingresos Por Recuperar A Corto Plazo</w:t>
            </w:r>
          </w:p>
        </w:tc>
        <w:tc>
          <w:tcPr>
            <w:tcW w:w="2377" w:type="dxa"/>
            <w:tcBorders>
              <w:top w:val="nil"/>
              <w:left w:val="nil"/>
              <w:bottom w:val="nil"/>
              <w:right w:val="single" w:sz="8" w:space="0" w:color="auto"/>
            </w:tcBorders>
            <w:shd w:val="clear" w:color="000000" w:fill="FFFFFF"/>
            <w:vAlign w:val="center"/>
            <w:hideMark/>
          </w:tcPr>
          <w:p w14:paraId="315AD6EF"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              717,535,079 </w:t>
            </w:r>
          </w:p>
        </w:tc>
        <w:tc>
          <w:tcPr>
            <w:tcW w:w="1984" w:type="dxa"/>
            <w:tcBorders>
              <w:top w:val="nil"/>
              <w:left w:val="nil"/>
              <w:bottom w:val="nil"/>
              <w:right w:val="single" w:sz="8" w:space="0" w:color="auto"/>
            </w:tcBorders>
            <w:shd w:val="clear" w:color="000000" w:fill="FFFFFF"/>
            <w:vAlign w:val="center"/>
            <w:hideMark/>
          </w:tcPr>
          <w:p w14:paraId="04F449B9"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        835,194,243 </w:t>
            </w:r>
          </w:p>
        </w:tc>
      </w:tr>
      <w:tr w:rsidR="00160031" w:rsidRPr="00853666" w14:paraId="710FC206" w14:textId="77777777" w:rsidTr="00B34987">
        <w:trPr>
          <w:trHeight w:val="624"/>
        </w:trPr>
        <w:tc>
          <w:tcPr>
            <w:tcW w:w="4754" w:type="dxa"/>
            <w:tcBorders>
              <w:top w:val="nil"/>
              <w:left w:val="single" w:sz="8" w:space="0" w:color="auto"/>
              <w:bottom w:val="nil"/>
              <w:right w:val="single" w:sz="8" w:space="0" w:color="auto"/>
            </w:tcBorders>
            <w:shd w:val="clear" w:color="000000" w:fill="FFFFFF"/>
            <w:vAlign w:val="center"/>
            <w:hideMark/>
          </w:tcPr>
          <w:p w14:paraId="2C3D6782"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Deudores Por Anticipos De La Tesorería A Corto Plazo</w:t>
            </w:r>
          </w:p>
        </w:tc>
        <w:tc>
          <w:tcPr>
            <w:tcW w:w="2377" w:type="dxa"/>
            <w:tcBorders>
              <w:top w:val="nil"/>
              <w:left w:val="nil"/>
              <w:bottom w:val="nil"/>
              <w:right w:val="single" w:sz="8" w:space="0" w:color="auto"/>
            </w:tcBorders>
            <w:shd w:val="clear" w:color="000000" w:fill="FFFFFF"/>
            <w:vAlign w:val="center"/>
            <w:hideMark/>
          </w:tcPr>
          <w:p w14:paraId="4AB8B32D"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              410,224,632 </w:t>
            </w:r>
          </w:p>
        </w:tc>
        <w:tc>
          <w:tcPr>
            <w:tcW w:w="1984" w:type="dxa"/>
            <w:tcBorders>
              <w:top w:val="nil"/>
              <w:left w:val="nil"/>
              <w:bottom w:val="nil"/>
              <w:right w:val="single" w:sz="8" w:space="0" w:color="auto"/>
            </w:tcBorders>
            <w:shd w:val="clear" w:color="000000" w:fill="FFFFFF"/>
            <w:vAlign w:val="center"/>
            <w:hideMark/>
          </w:tcPr>
          <w:p w14:paraId="2ABEB418"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692,862,876</w:t>
            </w:r>
          </w:p>
        </w:tc>
      </w:tr>
      <w:tr w:rsidR="00160031" w:rsidRPr="00853666" w14:paraId="36CF7F57" w14:textId="77777777" w:rsidTr="00B34987">
        <w:trPr>
          <w:trHeight w:val="312"/>
        </w:trPr>
        <w:tc>
          <w:tcPr>
            <w:tcW w:w="4754" w:type="dxa"/>
            <w:tcBorders>
              <w:top w:val="nil"/>
              <w:left w:val="single" w:sz="8" w:space="0" w:color="auto"/>
              <w:bottom w:val="nil"/>
              <w:right w:val="single" w:sz="8" w:space="0" w:color="auto"/>
            </w:tcBorders>
            <w:shd w:val="clear" w:color="000000" w:fill="FFFFFF"/>
            <w:vAlign w:val="center"/>
            <w:hideMark/>
          </w:tcPr>
          <w:p w14:paraId="0493610F"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Préstamos Otorgados A Corto Plazo</w:t>
            </w:r>
          </w:p>
        </w:tc>
        <w:tc>
          <w:tcPr>
            <w:tcW w:w="2377" w:type="dxa"/>
            <w:tcBorders>
              <w:top w:val="nil"/>
              <w:left w:val="nil"/>
              <w:bottom w:val="nil"/>
              <w:right w:val="single" w:sz="8" w:space="0" w:color="auto"/>
            </w:tcBorders>
            <w:shd w:val="clear" w:color="000000" w:fill="FFFFFF"/>
            <w:vAlign w:val="center"/>
            <w:hideMark/>
          </w:tcPr>
          <w:p w14:paraId="24FF401D"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438,219,306</w:t>
            </w:r>
          </w:p>
        </w:tc>
        <w:tc>
          <w:tcPr>
            <w:tcW w:w="1984" w:type="dxa"/>
            <w:tcBorders>
              <w:top w:val="nil"/>
              <w:left w:val="nil"/>
              <w:bottom w:val="nil"/>
              <w:right w:val="single" w:sz="8" w:space="0" w:color="auto"/>
            </w:tcBorders>
            <w:shd w:val="clear" w:color="000000" w:fill="FFFFFF"/>
            <w:vAlign w:val="center"/>
            <w:hideMark/>
          </w:tcPr>
          <w:p w14:paraId="6F4B4CD5"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617,848,806</w:t>
            </w:r>
          </w:p>
        </w:tc>
      </w:tr>
      <w:tr w:rsidR="00160031" w:rsidRPr="00853666" w14:paraId="3E9EB7F5" w14:textId="77777777" w:rsidTr="00B34987">
        <w:trPr>
          <w:trHeight w:val="639"/>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5154FF1A"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Otros Derechos A Recibir Efectivo O Equivalentes </w:t>
            </w:r>
            <w:proofErr w:type="gramStart"/>
            <w:r w:rsidRPr="00853666">
              <w:rPr>
                <w:rFonts w:ascii="Monsserrat" w:eastAsia="Times New Roman" w:hAnsi="Monsserrat" w:cs="Calibri"/>
                <w:color w:val="000000"/>
                <w:sz w:val="26"/>
                <w:szCs w:val="26"/>
                <w:lang w:val="es-MX"/>
              </w:rPr>
              <w:t>A  CP</w:t>
            </w:r>
            <w:proofErr w:type="gramEnd"/>
            <w:r w:rsidRPr="00853666">
              <w:rPr>
                <w:rFonts w:ascii="Monsserrat" w:eastAsia="Times New Roman" w:hAnsi="Monsserrat" w:cs="Calibri"/>
                <w:color w:val="000000"/>
                <w:sz w:val="26"/>
                <w:szCs w:val="26"/>
                <w:lang w:val="es-MX"/>
              </w:rPr>
              <w:t xml:space="preserve">         </w:t>
            </w:r>
          </w:p>
        </w:tc>
        <w:tc>
          <w:tcPr>
            <w:tcW w:w="2377" w:type="dxa"/>
            <w:tcBorders>
              <w:top w:val="nil"/>
              <w:left w:val="nil"/>
              <w:bottom w:val="single" w:sz="8" w:space="0" w:color="auto"/>
              <w:right w:val="single" w:sz="8" w:space="0" w:color="auto"/>
            </w:tcBorders>
            <w:shd w:val="clear" w:color="000000" w:fill="FFFFFF"/>
            <w:vAlign w:val="center"/>
            <w:hideMark/>
          </w:tcPr>
          <w:p w14:paraId="44CB61C3"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3,531,779,669</w:t>
            </w:r>
          </w:p>
        </w:tc>
        <w:tc>
          <w:tcPr>
            <w:tcW w:w="1984" w:type="dxa"/>
            <w:tcBorders>
              <w:top w:val="nil"/>
              <w:left w:val="nil"/>
              <w:bottom w:val="single" w:sz="8" w:space="0" w:color="auto"/>
              <w:right w:val="single" w:sz="8" w:space="0" w:color="auto"/>
            </w:tcBorders>
            <w:shd w:val="clear" w:color="000000" w:fill="FFFFFF"/>
            <w:vAlign w:val="center"/>
            <w:hideMark/>
          </w:tcPr>
          <w:p w14:paraId="49723D19"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3,476,106,962</w:t>
            </w:r>
          </w:p>
        </w:tc>
      </w:tr>
      <w:tr w:rsidR="00160031" w:rsidRPr="00853666" w14:paraId="01E6B04C" w14:textId="77777777" w:rsidTr="00B34987">
        <w:trPr>
          <w:trHeight w:val="327"/>
        </w:trPr>
        <w:tc>
          <w:tcPr>
            <w:tcW w:w="4754" w:type="dxa"/>
            <w:tcBorders>
              <w:top w:val="nil"/>
              <w:left w:val="single" w:sz="8" w:space="0" w:color="auto"/>
              <w:bottom w:val="single" w:sz="8" w:space="0" w:color="auto"/>
              <w:right w:val="single" w:sz="8" w:space="0" w:color="auto"/>
            </w:tcBorders>
            <w:shd w:val="clear" w:color="000000" w:fill="FFFFFF"/>
            <w:noWrap/>
            <w:vAlign w:val="center"/>
            <w:hideMark/>
          </w:tcPr>
          <w:p w14:paraId="6A03FD9B" w14:textId="77777777" w:rsidR="00160031" w:rsidRPr="00853666" w:rsidRDefault="00160031" w:rsidP="00160031">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77" w:type="dxa"/>
            <w:tcBorders>
              <w:top w:val="nil"/>
              <w:left w:val="nil"/>
              <w:bottom w:val="single" w:sz="8" w:space="0" w:color="auto"/>
              <w:right w:val="single" w:sz="8" w:space="0" w:color="auto"/>
            </w:tcBorders>
            <w:shd w:val="clear" w:color="000000" w:fill="FFFFFF"/>
            <w:noWrap/>
            <w:vAlign w:val="center"/>
            <w:hideMark/>
          </w:tcPr>
          <w:p w14:paraId="362507B7" w14:textId="77777777" w:rsidR="00160031" w:rsidRPr="00853666" w:rsidRDefault="00160031" w:rsidP="00160031">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6,712,048,897</w:t>
            </w:r>
          </w:p>
        </w:tc>
        <w:tc>
          <w:tcPr>
            <w:tcW w:w="1984" w:type="dxa"/>
            <w:tcBorders>
              <w:top w:val="nil"/>
              <w:left w:val="nil"/>
              <w:bottom w:val="single" w:sz="8" w:space="0" w:color="auto"/>
              <w:right w:val="single" w:sz="8" w:space="0" w:color="auto"/>
            </w:tcBorders>
            <w:shd w:val="clear" w:color="000000" w:fill="FFFFFF"/>
            <w:noWrap/>
            <w:vAlign w:val="center"/>
            <w:hideMark/>
          </w:tcPr>
          <w:p w14:paraId="45A5BA3E" w14:textId="77777777" w:rsidR="00160031" w:rsidRPr="00853666" w:rsidRDefault="00160031" w:rsidP="00160031">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8,581,889,934</w:t>
            </w:r>
          </w:p>
        </w:tc>
      </w:tr>
    </w:tbl>
    <w:p w14:paraId="24B7E3C1" w14:textId="77777777" w:rsidR="009C05EA" w:rsidRPr="00853666" w:rsidRDefault="009C05EA">
      <w:pPr>
        <w:rPr>
          <w:rFonts w:ascii="Monsserrat" w:hAnsi="Monsserrat"/>
          <w:sz w:val="26"/>
          <w:szCs w:val="26"/>
        </w:rPr>
      </w:pPr>
    </w:p>
    <w:p w14:paraId="3DA929FD" w14:textId="77777777" w:rsidR="009C05EA" w:rsidRPr="00853666" w:rsidRDefault="00B66A10">
      <w:pPr>
        <w:rPr>
          <w:rFonts w:ascii="Monsserrat" w:hAnsi="Monsserrat"/>
          <w:b/>
          <w:sz w:val="26"/>
          <w:szCs w:val="26"/>
        </w:rPr>
      </w:pPr>
      <w:r w:rsidRPr="00853666">
        <w:rPr>
          <w:rFonts w:ascii="Monsserrat" w:hAnsi="Monsserrat"/>
          <w:b/>
          <w:sz w:val="26"/>
          <w:szCs w:val="26"/>
        </w:rPr>
        <w:t>Nota 3.- Derechos a Recibir Bienes y Servicios.</w:t>
      </w:r>
    </w:p>
    <w:p w14:paraId="1DBC930F" w14:textId="77777777" w:rsidR="009C05EA" w:rsidRPr="00853666" w:rsidRDefault="009C05EA">
      <w:pPr>
        <w:jc w:val="both"/>
        <w:rPr>
          <w:rFonts w:ascii="Monsserrat" w:hAnsi="Monsserrat"/>
          <w:sz w:val="26"/>
          <w:szCs w:val="26"/>
        </w:rPr>
      </w:pPr>
    </w:p>
    <w:p w14:paraId="6A289C57" w14:textId="77777777" w:rsidR="009C05EA" w:rsidRPr="00853666" w:rsidRDefault="00B66A10" w:rsidP="00A63762">
      <w:pPr>
        <w:jc w:val="both"/>
        <w:rPr>
          <w:rFonts w:ascii="Monsserrat" w:hAnsi="Monsserrat"/>
          <w:sz w:val="26"/>
          <w:szCs w:val="26"/>
        </w:rPr>
      </w:pPr>
      <w:r w:rsidRPr="00853666">
        <w:rPr>
          <w:rFonts w:ascii="Monsserrat" w:hAnsi="Monsserrat"/>
          <w:sz w:val="26"/>
          <w:szCs w:val="26"/>
        </w:rPr>
        <w:t>El rubro de Derechos a Recibir Bienes o Servicios corresponde a anticipos otorgados a proveedores y contratistas para la ejecución de obra pública en proceso que tienen los entes públicos que conforman el Poder Ejecutivo y cuyo saldo al cierre del periodo enero-junio de 2022 y 2021, se encuentra integrado de:</w:t>
      </w:r>
    </w:p>
    <w:p w14:paraId="33029FB4" w14:textId="77777777" w:rsidR="009C05EA" w:rsidRPr="00853666" w:rsidRDefault="009C05EA">
      <w:pPr>
        <w:jc w:val="both"/>
        <w:rPr>
          <w:rFonts w:ascii="Monsserrat" w:hAnsi="Monsserrat"/>
          <w:sz w:val="26"/>
          <w:szCs w:val="26"/>
        </w:rPr>
      </w:pPr>
    </w:p>
    <w:p w14:paraId="06B59E07" w14:textId="77777777" w:rsidR="009C05EA" w:rsidRPr="00853666" w:rsidRDefault="00B66A10">
      <w:pPr>
        <w:pBdr>
          <w:top w:val="nil"/>
          <w:left w:val="nil"/>
          <w:bottom w:val="nil"/>
          <w:right w:val="nil"/>
          <w:between w:val="nil"/>
        </w:pBdr>
        <w:jc w:val="center"/>
        <w:rPr>
          <w:rFonts w:ascii="Monsserrat" w:hAnsi="Monsserrat"/>
          <w:b/>
          <w:sz w:val="26"/>
          <w:szCs w:val="26"/>
        </w:rPr>
      </w:pPr>
      <w:r w:rsidRPr="00853666">
        <w:rPr>
          <w:rFonts w:ascii="Monsserrat" w:hAnsi="Monsserrat"/>
          <w:b/>
          <w:sz w:val="26"/>
          <w:szCs w:val="26"/>
        </w:rPr>
        <w:t>(Pesos)</w:t>
      </w:r>
    </w:p>
    <w:tbl>
      <w:tblPr>
        <w:tblW w:w="9025" w:type="dxa"/>
        <w:tblInd w:w="55" w:type="dxa"/>
        <w:tblCellMar>
          <w:left w:w="70" w:type="dxa"/>
          <w:right w:w="70" w:type="dxa"/>
        </w:tblCellMar>
        <w:tblLook w:val="04A0" w:firstRow="1" w:lastRow="0" w:firstColumn="1" w:lastColumn="0" w:noHBand="0" w:noVBand="1"/>
      </w:tblPr>
      <w:tblGrid>
        <w:gridCol w:w="4707"/>
        <w:gridCol w:w="2353"/>
        <w:gridCol w:w="1965"/>
      </w:tblGrid>
      <w:tr w:rsidR="005B740F" w:rsidRPr="00853666" w14:paraId="483D3BBE" w14:textId="77777777" w:rsidTr="001B07C1">
        <w:trPr>
          <w:trHeight w:val="333"/>
        </w:trPr>
        <w:tc>
          <w:tcPr>
            <w:tcW w:w="470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007C19A9"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53" w:type="dxa"/>
            <w:tcBorders>
              <w:top w:val="single" w:sz="8" w:space="0" w:color="auto"/>
              <w:left w:val="nil"/>
              <w:bottom w:val="single" w:sz="8" w:space="0" w:color="auto"/>
              <w:right w:val="single" w:sz="8" w:space="0" w:color="auto"/>
            </w:tcBorders>
            <w:shd w:val="clear" w:color="000000" w:fill="828282"/>
            <w:vAlign w:val="center"/>
            <w:hideMark/>
          </w:tcPr>
          <w:p w14:paraId="33F114D4"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65" w:type="dxa"/>
            <w:tcBorders>
              <w:top w:val="single" w:sz="8" w:space="0" w:color="auto"/>
              <w:left w:val="nil"/>
              <w:bottom w:val="single" w:sz="8" w:space="0" w:color="auto"/>
              <w:right w:val="single" w:sz="8" w:space="0" w:color="auto"/>
            </w:tcBorders>
            <w:shd w:val="clear" w:color="000000" w:fill="828282"/>
            <w:vAlign w:val="center"/>
            <w:hideMark/>
          </w:tcPr>
          <w:p w14:paraId="42B8D7D7"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5D5A8D9E" w14:textId="77777777" w:rsidTr="001B07C1">
        <w:trPr>
          <w:trHeight w:val="619"/>
        </w:trPr>
        <w:tc>
          <w:tcPr>
            <w:tcW w:w="4707" w:type="dxa"/>
            <w:tcBorders>
              <w:top w:val="nil"/>
              <w:left w:val="single" w:sz="8" w:space="0" w:color="auto"/>
              <w:bottom w:val="single" w:sz="8" w:space="0" w:color="auto"/>
              <w:right w:val="single" w:sz="8" w:space="0" w:color="auto"/>
            </w:tcBorders>
            <w:shd w:val="clear" w:color="000000" w:fill="FFFFFF"/>
            <w:vAlign w:val="center"/>
            <w:hideMark/>
          </w:tcPr>
          <w:p w14:paraId="7029C814"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Anticipo a Proveedores por Adquisición de Bienes y Prestación de Servicios a Corto</w:t>
            </w:r>
          </w:p>
        </w:tc>
        <w:tc>
          <w:tcPr>
            <w:tcW w:w="2353" w:type="dxa"/>
            <w:tcBorders>
              <w:top w:val="nil"/>
              <w:left w:val="nil"/>
              <w:bottom w:val="single" w:sz="8" w:space="0" w:color="auto"/>
              <w:right w:val="single" w:sz="8" w:space="0" w:color="auto"/>
            </w:tcBorders>
            <w:shd w:val="clear" w:color="000000" w:fill="FFFFFF"/>
            <w:vAlign w:val="center"/>
            <w:hideMark/>
          </w:tcPr>
          <w:p w14:paraId="0DEDA23A"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24,459,285</w:t>
            </w:r>
          </w:p>
        </w:tc>
        <w:tc>
          <w:tcPr>
            <w:tcW w:w="1965" w:type="dxa"/>
            <w:tcBorders>
              <w:top w:val="nil"/>
              <w:left w:val="nil"/>
              <w:bottom w:val="single" w:sz="8" w:space="0" w:color="auto"/>
              <w:right w:val="single" w:sz="8" w:space="0" w:color="auto"/>
            </w:tcBorders>
            <w:shd w:val="clear" w:color="000000" w:fill="FFFFFF"/>
            <w:vAlign w:val="center"/>
            <w:hideMark/>
          </w:tcPr>
          <w:p w14:paraId="7075416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24,459,285</w:t>
            </w:r>
          </w:p>
        </w:tc>
      </w:tr>
      <w:tr w:rsidR="005B740F" w:rsidRPr="00853666" w14:paraId="62315ACC" w14:textId="77777777" w:rsidTr="001B07C1">
        <w:trPr>
          <w:trHeight w:val="619"/>
        </w:trPr>
        <w:tc>
          <w:tcPr>
            <w:tcW w:w="4707" w:type="dxa"/>
            <w:tcBorders>
              <w:top w:val="nil"/>
              <w:left w:val="single" w:sz="8" w:space="0" w:color="auto"/>
              <w:bottom w:val="single" w:sz="8" w:space="0" w:color="auto"/>
              <w:right w:val="single" w:sz="8" w:space="0" w:color="auto"/>
            </w:tcBorders>
            <w:shd w:val="clear" w:color="000000" w:fill="FFFFFF"/>
            <w:vAlign w:val="center"/>
            <w:hideMark/>
          </w:tcPr>
          <w:p w14:paraId="75F7BCA3"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Anticipo a Contratistas por Obras Públicas a CP</w:t>
            </w:r>
          </w:p>
        </w:tc>
        <w:tc>
          <w:tcPr>
            <w:tcW w:w="2353" w:type="dxa"/>
            <w:tcBorders>
              <w:top w:val="nil"/>
              <w:left w:val="nil"/>
              <w:bottom w:val="single" w:sz="8" w:space="0" w:color="auto"/>
              <w:right w:val="single" w:sz="8" w:space="0" w:color="auto"/>
            </w:tcBorders>
            <w:shd w:val="clear" w:color="000000" w:fill="FFFFFF"/>
            <w:vAlign w:val="center"/>
            <w:hideMark/>
          </w:tcPr>
          <w:p w14:paraId="3C0CBC0A"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260,866,874</w:t>
            </w:r>
          </w:p>
        </w:tc>
        <w:tc>
          <w:tcPr>
            <w:tcW w:w="1965" w:type="dxa"/>
            <w:tcBorders>
              <w:top w:val="nil"/>
              <w:left w:val="nil"/>
              <w:bottom w:val="single" w:sz="8" w:space="0" w:color="auto"/>
              <w:right w:val="single" w:sz="8" w:space="0" w:color="auto"/>
            </w:tcBorders>
            <w:shd w:val="clear" w:color="000000" w:fill="FFFFFF"/>
            <w:vAlign w:val="center"/>
            <w:hideMark/>
          </w:tcPr>
          <w:p w14:paraId="4F96AB2A"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227,344,508</w:t>
            </w:r>
          </w:p>
        </w:tc>
      </w:tr>
      <w:tr w:rsidR="005B740F" w:rsidRPr="00853666" w14:paraId="5CF1DEEA" w14:textId="77777777" w:rsidTr="001B07C1">
        <w:trPr>
          <w:trHeight w:val="333"/>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1A753D92"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53" w:type="dxa"/>
            <w:tcBorders>
              <w:top w:val="nil"/>
              <w:left w:val="nil"/>
              <w:bottom w:val="single" w:sz="8" w:space="0" w:color="auto"/>
              <w:right w:val="single" w:sz="8" w:space="0" w:color="auto"/>
            </w:tcBorders>
            <w:shd w:val="clear" w:color="000000" w:fill="FFFFFF"/>
            <w:noWrap/>
            <w:vAlign w:val="center"/>
            <w:hideMark/>
          </w:tcPr>
          <w:p w14:paraId="1EC7CE60"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285,326,159</w:t>
            </w:r>
          </w:p>
        </w:tc>
        <w:tc>
          <w:tcPr>
            <w:tcW w:w="1965" w:type="dxa"/>
            <w:tcBorders>
              <w:top w:val="nil"/>
              <w:left w:val="nil"/>
              <w:bottom w:val="single" w:sz="8" w:space="0" w:color="auto"/>
              <w:right w:val="single" w:sz="8" w:space="0" w:color="auto"/>
            </w:tcBorders>
            <w:shd w:val="clear" w:color="000000" w:fill="FFFFFF"/>
            <w:noWrap/>
            <w:vAlign w:val="center"/>
            <w:hideMark/>
          </w:tcPr>
          <w:p w14:paraId="72450586"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251,803,793</w:t>
            </w:r>
          </w:p>
        </w:tc>
      </w:tr>
    </w:tbl>
    <w:p w14:paraId="46018CF3" w14:textId="77777777" w:rsidR="009C05EA" w:rsidRPr="00853666" w:rsidRDefault="009C05EA">
      <w:pPr>
        <w:jc w:val="both"/>
        <w:rPr>
          <w:rFonts w:ascii="Monsserrat" w:hAnsi="Monsserrat"/>
          <w:sz w:val="26"/>
          <w:szCs w:val="26"/>
        </w:rPr>
      </w:pPr>
    </w:p>
    <w:p w14:paraId="44892D3B" w14:textId="77777777" w:rsidR="009C05EA" w:rsidRPr="00853666" w:rsidRDefault="00B66A10">
      <w:pPr>
        <w:jc w:val="both"/>
        <w:rPr>
          <w:rFonts w:ascii="Monsserrat" w:hAnsi="Monsserrat"/>
          <w:b/>
          <w:sz w:val="26"/>
          <w:szCs w:val="26"/>
          <w:u w:val="single"/>
        </w:rPr>
      </w:pPr>
      <w:r w:rsidRPr="00853666">
        <w:rPr>
          <w:rFonts w:ascii="Monsserrat" w:hAnsi="Monsserrat"/>
          <w:b/>
          <w:sz w:val="26"/>
          <w:szCs w:val="26"/>
          <w:u w:val="single"/>
        </w:rPr>
        <w:t>No Circulante.</w:t>
      </w:r>
    </w:p>
    <w:p w14:paraId="5D98F9F0" w14:textId="77777777" w:rsidR="009C05EA" w:rsidRPr="00853666" w:rsidRDefault="009C05EA">
      <w:pPr>
        <w:jc w:val="both"/>
        <w:rPr>
          <w:rFonts w:ascii="Monsserrat" w:hAnsi="Monsserrat"/>
          <w:sz w:val="26"/>
          <w:szCs w:val="26"/>
        </w:rPr>
      </w:pPr>
    </w:p>
    <w:p w14:paraId="50B94D4B" w14:textId="77777777" w:rsidR="009C05EA" w:rsidRPr="00853666" w:rsidRDefault="009C05EA">
      <w:pPr>
        <w:jc w:val="both"/>
        <w:rPr>
          <w:rFonts w:ascii="Monsserrat" w:hAnsi="Monsserrat"/>
          <w:sz w:val="26"/>
          <w:szCs w:val="26"/>
        </w:rPr>
      </w:pPr>
    </w:p>
    <w:p w14:paraId="6FD71FAB" w14:textId="77777777" w:rsidR="009C05EA" w:rsidRPr="00853666" w:rsidRDefault="00B66A10">
      <w:pPr>
        <w:jc w:val="both"/>
        <w:rPr>
          <w:rFonts w:ascii="Monsserrat" w:hAnsi="Monsserrat"/>
          <w:sz w:val="26"/>
          <w:szCs w:val="26"/>
        </w:rPr>
      </w:pPr>
      <w:r w:rsidRPr="00853666">
        <w:rPr>
          <w:rFonts w:ascii="Monsserrat" w:hAnsi="Monsserrat"/>
          <w:b/>
          <w:sz w:val="26"/>
          <w:szCs w:val="26"/>
        </w:rPr>
        <w:t>Nota 4.- Inversiones Financieras a Largo Plazo.</w:t>
      </w:r>
    </w:p>
    <w:p w14:paraId="2AE6D2C4" w14:textId="77777777" w:rsidR="009C05EA" w:rsidRPr="00853666" w:rsidRDefault="009C05EA">
      <w:pPr>
        <w:jc w:val="both"/>
        <w:rPr>
          <w:rFonts w:ascii="Monsserrat" w:hAnsi="Monsserrat"/>
          <w:sz w:val="26"/>
          <w:szCs w:val="26"/>
        </w:rPr>
      </w:pPr>
    </w:p>
    <w:p w14:paraId="021AA5F3" w14:textId="77777777" w:rsidR="009C05EA" w:rsidRPr="00853666" w:rsidRDefault="00B66A10">
      <w:pPr>
        <w:jc w:val="both"/>
        <w:rPr>
          <w:rFonts w:ascii="Monsserrat" w:hAnsi="Monsserrat"/>
          <w:sz w:val="26"/>
          <w:szCs w:val="26"/>
        </w:rPr>
      </w:pPr>
      <w:r w:rsidRPr="00853666">
        <w:rPr>
          <w:rFonts w:ascii="Monsserrat" w:hAnsi="Monsserrat"/>
          <w:sz w:val="26"/>
          <w:szCs w:val="26"/>
        </w:rPr>
        <w:t>Del activo no circulante el rubro consolidado de Inversiones Financieras a Largo Plazo Consolidado, el saldo al cierre del periodo enero-junio de 2022 y 2021, son exclusivos del Poder Ejecutivo, el cual tiene invertido en títulos, valores y demás instrumentos financieros, recuperables en un plazo mayor de doce meses, como se muestra a continuación:</w:t>
      </w:r>
    </w:p>
    <w:p w14:paraId="535D1B57" w14:textId="77777777" w:rsidR="009C05EA" w:rsidRPr="00853666" w:rsidRDefault="009C05EA">
      <w:pPr>
        <w:jc w:val="both"/>
        <w:rPr>
          <w:rFonts w:ascii="Monsserrat" w:hAnsi="Monsserrat"/>
          <w:sz w:val="26"/>
          <w:szCs w:val="26"/>
        </w:rPr>
      </w:pPr>
    </w:p>
    <w:p w14:paraId="35EEBE10" w14:textId="77777777" w:rsidR="009C05EA" w:rsidRPr="00853666" w:rsidRDefault="009C05EA">
      <w:pPr>
        <w:jc w:val="both"/>
        <w:rPr>
          <w:rFonts w:ascii="Monsserrat" w:hAnsi="Monsserrat"/>
          <w:sz w:val="26"/>
          <w:szCs w:val="26"/>
        </w:rPr>
      </w:pPr>
    </w:p>
    <w:p w14:paraId="22FE340C" w14:textId="77777777" w:rsidR="009C05EA" w:rsidRPr="00853666" w:rsidRDefault="00B66A10">
      <w:pPr>
        <w:pBdr>
          <w:top w:val="nil"/>
          <w:left w:val="nil"/>
          <w:bottom w:val="nil"/>
          <w:right w:val="nil"/>
          <w:between w:val="nil"/>
        </w:pBdr>
        <w:jc w:val="center"/>
        <w:rPr>
          <w:rFonts w:ascii="Monsserrat" w:hAnsi="Monsserrat"/>
          <w:b/>
          <w:sz w:val="26"/>
          <w:szCs w:val="26"/>
        </w:rPr>
      </w:pPr>
      <w:r w:rsidRPr="00853666">
        <w:rPr>
          <w:rFonts w:ascii="Monsserrat" w:hAnsi="Monsserrat"/>
          <w:b/>
          <w:sz w:val="26"/>
          <w:szCs w:val="26"/>
        </w:rPr>
        <w:t>(Pesos)</w:t>
      </w:r>
    </w:p>
    <w:tbl>
      <w:tblPr>
        <w:tblW w:w="9115" w:type="dxa"/>
        <w:tblInd w:w="55" w:type="dxa"/>
        <w:tblCellMar>
          <w:left w:w="70" w:type="dxa"/>
          <w:right w:w="70" w:type="dxa"/>
        </w:tblCellMar>
        <w:tblLook w:val="04A0" w:firstRow="1" w:lastRow="0" w:firstColumn="1" w:lastColumn="0" w:noHBand="0" w:noVBand="1"/>
      </w:tblPr>
      <w:tblGrid>
        <w:gridCol w:w="4754"/>
        <w:gridCol w:w="2377"/>
        <w:gridCol w:w="1984"/>
      </w:tblGrid>
      <w:tr w:rsidR="005B740F" w:rsidRPr="00853666" w14:paraId="1AABA954" w14:textId="77777777" w:rsidTr="001B07C1">
        <w:trPr>
          <w:trHeight w:val="387"/>
        </w:trPr>
        <w:tc>
          <w:tcPr>
            <w:tcW w:w="4754"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0D1F67BC"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77" w:type="dxa"/>
            <w:tcBorders>
              <w:top w:val="single" w:sz="8" w:space="0" w:color="auto"/>
              <w:left w:val="nil"/>
              <w:bottom w:val="single" w:sz="8" w:space="0" w:color="auto"/>
              <w:right w:val="single" w:sz="8" w:space="0" w:color="auto"/>
            </w:tcBorders>
            <w:shd w:val="clear" w:color="000000" w:fill="828282"/>
            <w:vAlign w:val="center"/>
            <w:hideMark/>
          </w:tcPr>
          <w:p w14:paraId="08DB53B1"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84" w:type="dxa"/>
            <w:tcBorders>
              <w:top w:val="single" w:sz="8" w:space="0" w:color="auto"/>
              <w:left w:val="nil"/>
              <w:bottom w:val="single" w:sz="8" w:space="0" w:color="auto"/>
              <w:right w:val="single" w:sz="8" w:space="0" w:color="auto"/>
            </w:tcBorders>
            <w:shd w:val="clear" w:color="000000" w:fill="828282"/>
            <w:vAlign w:val="center"/>
            <w:hideMark/>
          </w:tcPr>
          <w:p w14:paraId="61267036"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0D81880A" w14:textId="77777777" w:rsidTr="001B07C1">
        <w:trPr>
          <w:trHeight w:val="369"/>
        </w:trPr>
        <w:tc>
          <w:tcPr>
            <w:tcW w:w="4754" w:type="dxa"/>
            <w:tcBorders>
              <w:top w:val="nil"/>
              <w:left w:val="single" w:sz="8" w:space="0" w:color="auto"/>
              <w:bottom w:val="single" w:sz="8" w:space="0" w:color="auto"/>
              <w:right w:val="single" w:sz="8" w:space="0" w:color="auto"/>
            </w:tcBorders>
            <w:shd w:val="clear" w:color="000000" w:fill="FFFFFF"/>
            <w:vAlign w:val="center"/>
            <w:hideMark/>
          </w:tcPr>
          <w:p w14:paraId="468BA999" w14:textId="77777777" w:rsidR="005B740F" w:rsidRPr="00853666" w:rsidRDefault="005B740F" w:rsidP="005B740F">
            <w:pPr>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Fideicomisos, Mandatos y Análogos </w:t>
            </w:r>
          </w:p>
        </w:tc>
        <w:tc>
          <w:tcPr>
            <w:tcW w:w="2377" w:type="dxa"/>
            <w:tcBorders>
              <w:top w:val="nil"/>
              <w:left w:val="nil"/>
              <w:bottom w:val="single" w:sz="8" w:space="0" w:color="auto"/>
              <w:right w:val="single" w:sz="8" w:space="0" w:color="auto"/>
            </w:tcBorders>
            <w:shd w:val="clear" w:color="000000" w:fill="FFFFFF"/>
            <w:vAlign w:val="center"/>
            <w:hideMark/>
          </w:tcPr>
          <w:p w14:paraId="76F6214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591,785,237</w:t>
            </w:r>
          </w:p>
        </w:tc>
        <w:tc>
          <w:tcPr>
            <w:tcW w:w="1984" w:type="dxa"/>
            <w:tcBorders>
              <w:top w:val="nil"/>
              <w:left w:val="nil"/>
              <w:bottom w:val="single" w:sz="8" w:space="0" w:color="auto"/>
              <w:right w:val="single" w:sz="8" w:space="0" w:color="auto"/>
            </w:tcBorders>
            <w:shd w:val="clear" w:color="000000" w:fill="FFFFFF"/>
            <w:vAlign w:val="center"/>
            <w:hideMark/>
          </w:tcPr>
          <w:p w14:paraId="5B66B02D"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953,683,664</w:t>
            </w:r>
          </w:p>
        </w:tc>
      </w:tr>
      <w:tr w:rsidR="005B740F" w:rsidRPr="00853666" w14:paraId="559E1F25" w14:textId="77777777" w:rsidTr="001B07C1">
        <w:trPr>
          <w:trHeight w:val="387"/>
        </w:trPr>
        <w:tc>
          <w:tcPr>
            <w:tcW w:w="4754" w:type="dxa"/>
            <w:tcBorders>
              <w:top w:val="nil"/>
              <w:left w:val="single" w:sz="8" w:space="0" w:color="auto"/>
              <w:bottom w:val="single" w:sz="8" w:space="0" w:color="auto"/>
              <w:right w:val="single" w:sz="8" w:space="0" w:color="auto"/>
            </w:tcBorders>
            <w:shd w:val="clear" w:color="000000" w:fill="FFFFFF"/>
            <w:noWrap/>
            <w:vAlign w:val="center"/>
            <w:hideMark/>
          </w:tcPr>
          <w:p w14:paraId="3D4CAB5E"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77" w:type="dxa"/>
            <w:tcBorders>
              <w:top w:val="nil"/>
              <w:left w:val="nil"/>
              <w:bottom w:val="single" w:sz="8" w:space="0" w:color="auto"/>
              <w:right w:val="single" w:sz="8" w:space="0" w:color="auto"/>
            </w:tcBorders>
            <w:shd w:val="clear" w:color="000000" w:fill="FFFFFF"/>
            <w:noWrap/>
            <w:vAlign w:val="center"/>
            <w:hideMark/>
          </w:tcPr>
          <w:p w14:paraId="415716C8"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591,785,237</w:t>
            </w:r>
          </w:p>
        </w:tc>
        <w:tc>
          <w:tcPr>
            <w:tcW w:w="1984" w:type="dxa"/>
            <w:tcBorders>
              <w:top w:val="nil"/>
              <w:left w:val="nil"/>
              <w:bottom w:val="single" w:sz="8" w:space="0" w:color="auto"/>
              <w:right w:val="single" w:sz="8" w:space="0" w:color="auto"/>
            </w:tcBorders>
            <w:shd w:val="clear" w:color="000000" w:fill="FFFFFF"/>
            <w:noWrap/>
            <w:vAlign w:val="center"/>
            <w:hideMark/>
          </w:tcPr>
          <w:p w14:paraId="4511C422"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953,683,664</w:t>
            </w:r>
          </w:p>
        </w:tc>
      </w:tr>
    </w:tbl>
    <w:p w14:paraId="2E1DC3A1" w14:textId="77777777" w:rsidR="009C05EA" w:rsidRPr="00853666" w:rsidRDefault="009C05EA">
      <w:pPr>
        <w:pBdr>
          <w:top w:val="nil"/>
          <w:left w:val="nil"/>
          <w:bottom w:val="nil"/>
          <w:right w:val="nil"/>
          <w:between w:val="nil"/>
        </w:pBdr>
        <w:rPr>
          <w:rFonts w:ascii="Monsserrat" w:hAnsi="Monsserrat"/>
          <w:b/>
          <w:sz w:val="26"/>
          <w:szCs w:val="26"/>
        </w:rPr>
      </w:pPr>
    </w:p>
    <w:p w14:paraId="46E6D4A0" w14:textId="77777777" w:rsidR="009C05EA" w:rsidRPr="00853666" w:rsidRDefault="009C05EA">
      <w:pPr>
        <w:jc w:val="both"/>
        <w:rPr>
          <w:rFonts w:ascii="Monsserrat" w:hAnsi="Monsserrat"/>
          <w:sz w:val="26"/>
          <w:szCs w:val="26"/>
        </w:rPr>
      </w:pPr>
    </w:p>
    <w:p w14:paraId="2077CF80" w14:textId="77777777" w:rsidR="009C05EA" w:rsidRPr="00853666" w:rsidRDefault="00B66A10">
      <w:pPr>
        <w:rPr>
          <w:rFonts w:ascii="Monsserrat" w:hAnsi="Monsserrat"/>
          <w:b/>
          <w:sz w:val="26"/>
          <w:szCs w:val="26"/>
        </w:rPr>
      </w:pPr>
      <w:r w:rsidRPr="00853666">
        <w:rPr>
          <w:rFonts w:ascii="Monsserrat" w:hAnsi="Monsserrat"/>
          <w:b/>
          <w:sz w:val="26"/>
          <w:szCs w:val="26"/>
        </w:rPr>
        <w:t>Nota 5.- Bienes Inmuebles, Infraestructura y Construcciones en Proceso.</w:t>
      </w:r>
    </w:p>
    <w:p w14:paraId="1592BB2A" w14:textId="77777777" w:rsidR="009C05EA" w:rsidRPr="00853666" w:rsidRDefault="009C05EA">
      <w:pPr>
        <w:jc w:val="both"/>
        <w:rPr>
          <w:rFonts w:ascii="Monsserrat" w:hAnsi="Monsserrat"/>
          <w:sz w:val="26"/>
          <w:szCs w:val="26"/>
        </w:rPr>
      </w:pPr>
    </w:p>
    <w:p w14:paraId="39230483"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enero-junio de 2022 y 2021, se integran de la siguiente forma</w:t>
      </w:r>
    </w:p>
    <w:p w14:paraId="0F70EFA8" w14:textId="77777777" w:rsidR="009C05EA" w:rsidRPr="00853666" w:rsidRDefault="009C05EA">
      <w:pPr>
        <w:pBdr>
          <w:top w:val="nil"/>
          <w:left w:val="nil"/>
          <w:bottom w:val="nil"/>
          <w:right w:val="nil"/>
          <w:between w:val="nil"/>
        </w:pBdr>
        <w:jc w:val="both"/>
        <w:rPr>
          <w:rFonts w:ascii="Monsserrat" w:hAnsi="Monsserrat"/>
          <w:sz w:val="26"/>
          <w:szCs w:val="26"/>
        </w:rPr>
      </w:pPr>
    </w:p>
    <w:p w14:paraId="7AA6C03E" w14:textId="77777777" w:rsidR="009C05EA" w:rsidRPr="00853666" w:rsidRDefault="00B66A10">
      <w:pPr>
        <w:pBdr>
          <w:top w:val="nil"/>
          <w:left w:val="nil"/>
          <w:bottom w:val="nil"/>
          <w:right w:val="nil"/>
          <w:between w:val="nil"/>
        </w:pBdr>
        <w:jc w:val="center"/>
        <w:rPr>
          <w:rFonts w:ascii="Monsserrat" w:hAnsi="Monsserrat"/>
          <w:b/>
          <w:sz w:val="26"/>
          <w:szCs w:val="26"/>
        </w:rPr>
      </w:pPr>
      <w:r w:rsidRPr="00853666">
        <w:rPr>
          <w:rFonts w:ascii="Monsserrat" w:hAnsi="Monsserrat"/>
          <w:b/>
          <w:sz w:val="26"/>
          <w:szCs w:val="26"/>
        </w:rPr>
        <w:t>(Pesos)</w:t>
      </w:r>
    </w:p>
    <w:tbl>
      <w:tblPr>
        <w:tblW w:w="9206" w:type="dxa"/>
        <w:tblInd w:w="55" w:type="dxa"/>
        <w:tblCellMar>
          <w:left w:w="70" w:type="dxa"/>
          <w:right w:w="70" w:type="dxa"/>
        </w:tblCellMar>
        <w:tblLook w:val="04A0" w:firstRow="1" w:lastRow="0" w:firstColumn="1" w:lastColumn="0" w:noHBand="0" w:noVBand="1"/>
      </w:tblPr>
      <w:tblGrid>
        <w:gridCol w:w="4977"/>
        <w:gridCol w:w="2214"/>
        <w:gridCol w:w="2015"/>
      </w:tblGrid>
      <w:tr w:rsidR="005B740F" w:rsidRPr="00853666" w14:paraId="1CB52E90" w14:textId="77777777" w:rsidTr="00853666">
        <w:trPr>
          <w:trHeight w:val="287"/>
        </w:trPr>
        <w:tc>
          <w:tcPr>
            <w:tcW w:w="497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A29FDE9" w14:textId="77777777" w:rsidR="005B740F" w:rsidRPr="00853666" w:rsidRDefault="005B740F" w:rsidP="005B740F">
            <w:pP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223" w:type="dxa"/>
            <w:tcBorders>
              <w:top w:val="single" w:sz="8" w:space="0" w:color="auto"/>
              <w:left w:val="nil"/>
              <w:bottom w:val="single" w:sz="8" w:space="0" w:color="auto"/>
              <w:right w:val="single" w:sz="8" w:space="0" w:color="auto"/>
            </w:tcBorders>
            <w:shd w:val="clear" w:color="000000" w:fill="828282"/>
            <w:vAlign w:val="center"/>
            <w:hideMark/>
          </w:tcPr>
          <w:p w14:paraId="67FEC95B"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2006" w:type="dxa"/>
            <w:tcBorders>
              <w:top w:val="single" w:sz="8" w:space="0" w:color="auto"/>
              <w:left w:val="nil"/>
              <w:bottom w:val="single" w:sz="8" w:space="0" w:color="auto"/>
              <w:right w:val="single" w:sz="8" w:space="0" w:color="auto"/>
            </w:tcBorders>
            <w:shd w:val="clear" w:color="000000" w:fill="828282"/>
            <w:vAlign w:val="center"/>
            <w:hideMark/>
          </w:tcPr>
          <w:p w14:paraId="347F8F9C"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0C3CD2B0" w14:textId="77777777" w:rsidTr="00853666">
        <w:trPr>
          <w:trHeight w:val="262"/>
        </w:trPr>
        <w:tc>
          <w:tcPr>
            <w:tcW w:w="4977" w:type="dxa"/>
            <w:tcBorders>
              <w:top w:val="nil"/>
              <w:left w:val="single" w:sz="8" w:space="0" w:color="auto"/>
              <w:bottom w:val="nil"/>
              <w:right w:val="single" w:sz="8" w:space="0" w:color="auto"/>
            </w:tcBorders>
            <w:shd w:val="clear" w:color="000000" w:fill="FFFFFF"/>
            <w:noWrap/>
            <w:vAlign w:val="center"/>
            <w:hideMark/>
          </w:tcPr>
          <w:p w14:paraId="6DC80A73"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Terrenos</w:t>
            </w:r>
          </w:p>
        </w:tc>
        <w:tc>
          <w:tcPr>
            <w:tcW w:w="2223" w:type="dxa"/>
            <w:tcBorders>
              <w:top w:val="nil"/>
              <w:left w:val="nil"/>
              <w:bottom w:val="nil"/>
              <w:right w:val="single" w:sz="8" w:space="0" w:color="auto"/>
            </w:tcBorders>
            <w:shd w:val="clear" w:color="000000" w:fill="FFFFFF"/>
            <w:vAlign w:val="center"/>
            <w:hideMark/>
          </w:tcPr>
          <w:p w14:paraId="2E45CA33"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3,716,183,722</w:t>
            </w:r>
          </w:p>
        </w:tc>
        <w:tc>
          <w:tcPr>
            <w:tcW w:w="2006" w:type="dxa"/>
            <w:tcBorders>
              <w:top w:val="nil"/>
              <w:left w:val="nil"/>
              <w:bottom w:val="nil"/>
              <w:right w:val="single" w:sz="8" w:space="0" w:color="auto"/>
            </w:tcBorders>
            <w:shd w:val="clear" w:color="000000" w:fill="FFFFFF"/>
            <w:vAlign w:val="center"/>
            <w:hideMark/>
          </w:tcPr>
          <w:p w14:paraId="466ADA13"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2,810,557,511</w:t>
            </w:r>
          </w:p>
        </w:tc>
      </w:tr>
      <w:tr w:rsidR="005B740F" w:rsidRPr="00853666" w14:paraId="2768BFF7" w14:textId="77777777" w:rsidTr="00853666">
        <w:trPr>
          <w:trHeight w:val="262"/>
        </w:trPr>
        <w:tc>
          <w:tcPr>
            <w:tcW w:w="4977" w:type="dxa"/>
            <w:tcBorders>
              <w:top w:val="nil"/>
              <w:left w:val="single" w:sz="8" w:space="0" w:color="auto"/>
              <w:bottom w:val="nil"/>
              <w:right w:val="single" w:sz="8" w:space="0" w:color="auto"/>
            </w:tcBorders>
            <w:shd w:val="clear" w:color="000000" w:fill="FFFFFF"/>
            <w:noWrap/>
            <w:vAlign w:val="center"/>
            <w:hideMark/>
          </w:tcPr>
          <w:p w14:paraId="146B5DDE"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Edificios No Habitacionales</w:t>
            </w:r>
          </w:p>
        </w:tc>
        <w:tc>
          <w:tcPr>
            <w:tcW w:w="2223" w:type="dxa"/>
            <w:tcBorders>
              <w:top w:val="nil"/>
              <w:left w:val="nil"/>
              <w:bottom w:val="nil"/>
              <w:right w:val="single" w:sz="8" w:space="0" w:color="auto"/>
            </w:tcBorders>
            <w:shd w:val="clear" w:color="000000" w:fill="FFFFFF"/>
            <w:vAlign w:val="center"/>
            <w:hideMark/>
          </w:tcPr>
          <w:p w14:paraId="75FCBC67"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4,325,632,139</w:t>
            </w:r>
          </w:p>
        </w:tc>
        <w:tc>
          <w:tcPr>
            <w:tcW w:w="2006" w:type="dxa"/>
            <w:tcBorders>
              <w:top w:val="nil"/>
              <w:left w:val="nil"/>
              <w:bottom w:val="nil"/>
              <w:right w:val="single" w:sz="8" w:space="0" w:color="auto"/>
            </w:tcBorders>
            <w:shd w:val="clear" w:color="000000" w:fill="FFFFFF"/>
            <w:vAlign w:val="center"/>
            <w:hideMark/>
          </w:tcPr>
          <w:p w14:paraId="7BD4A27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4,102,253,938</w:t>
            </w:r>
          </w:p>
        </w:tc>
      </w:tr>
      <w:tr w:rsidR="005B740F" w:rsidRPr="00853666" w14:paraId="23E381F4" w14:textId="77777777" w:rsidTr="00853666">
        <w:trPr>
          <w:trHeight w:val="523"/>
        </w:trPr>
        <w:tc>
          <w:tcPr>
            <w:tcW w:w="4977" w:type="dxa"/>
            <w:tcBorders>
              <w:top w:val="nil"/>
              <w:left w:val="single" w:sz="8" w:space="0" w:color="auto"/>
              <w:bottom w:val="nil"/>
              <w:right w:val="single" w:sz="8" w:space="0" w:color="auto"/>
            </w:tcBorders>
            <w:shd w:val="clear" w:color="000000" w:fill="FFFFFF"/>
            <w:noWrap/>
            <w:vAlign w:val="center"/>
            <w:hideMark/>
          </w:tcPr>
          <w:p w14:paraId="78992465"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Construcciones En Proceso En Bienes De Dominio Público</w:t>
            </w:r>
          </w:p>
        </w:tc>
        <w:tc>
          <w:tcPr>
            <w:tcW w:w="2223" w:type="dxa"/>
            <w:tcBorders>
              <w:top w:val="nil"/>
              <w:left w:val="nil"/>
              <w:bottom w:val="nil"/>
              <w:right w:val="single" w:sz="8" w:space="0" w:color="auto"/>
            </w:tcBorders>
            <w:shd w:val="clear" w:color="000000" w:fill="FFFFFF"/>
            <w:vAlign w:val="center"/>
            <w:hideMark/>
          </w:tcPr>
          <w:p w14:paraId="26162357"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6,914,336,219</w:t>
            </w:r>
          </w:p>
        </w:tc>
        <w:tc>
          <w:tcPr>
            <w:tcW w:w="2006" w:type="dxa"/>
            <w:tcBorders>
              <w:top w:val="nil"/>
              <w:left w:val="nil"/>
              <w:bottom w:val="nil"/>
              <w:right w:val="single" w:sz="8" w:space="0" w:color="auto"/>
            </w:tcBorders>
            <w:shd w:val="clear" w:color="000000" w:fill="FFFFFF"/>
            <w:vAlign w:val="center"/>
            <w:hideMark/>
          </w:tcPr>
          <w:p w14:paraId="3A5682C5"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6,843,444,595</w:t>
            </w:r>
          </w:p>
        </w:tc>
      </w:tr>
      <w:tr w:rsidR="005B740F" w:rsidRPr="00853666" w14:paraId="0636121D" w14:textId="77777777" w:rsidTr="00853666">
        <w:trPr>
          <w:trHeight w:val="536"/>
        </w:trPr>
        <w:tc>
          <w:tcPr>
            <w:tcW w:w="4977" w:type="dxa"/>
            <w:tcBorders>
              <w:top w:val="nil"/>
              <w:left w:val="single" w:sz="8" w:space="0" w:color="auto"/>
              <w:bottom w:val="single" w:sz="8" w:space="0" w:color="auto"/>
              <w:right w:val="single" w:sz="8" w:space="0" w:color="auto"/>
            </w:tcBorders>
            <w:shd w:val="clear" w:color="000000" w:fill="FFFFFF"/>
            <w:noWrap/>
            <w:vAlign w:val="center"/>
            <w:hideMark/>
          </w:tcPr>
          <w:p w14:paraId="69FD44EE"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Construcciones En Proceso En Bienes Propios</w:t>
            </w:r>
          </w:p>
        </w:tc>
        <w:tc>
          <w:tcPr>
            <w:tcW w:w="2223" w:type="dxa"/>
            <w:tcBorders>
              <w:top w:val="nil"/>
              <w:left w:val="nil"/>
              <w:bottom w:val="single" w:sz="8" w:space="0" w:color="auto"/>
              <w:right w:val="single" w:sz="8" w:space="0" w:color="auto"/>
            </w:tcBorders>
            <w:shd w:val="clear" w:color="000000" w:fill="FFFFFF"/>
            <w:vAlign w:val="center"/>
            <w:hideMark/>
          </w:tcPr>
          <w:p w14:paraId="344A4FC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59,118,573</w:t>
            </w:r>
          </w:p>
        </w:tc>
        <w:tc>
          <w:tcPr>
            <w:tcW w:w="2006" w:type="dxa"/>
            <w:tcBorders>
              <w:top w:val="nil"/>
              <w:left w:val="nil"/>
              <w:bottom w:val="single" w:sz="8" w:space="0" w:color="auto"/>
              <w:right w:val="single" w:sz="8" w:space="0" w:color="auto"/>
            </w:tcBorders>
            <w:shd w:val="clear" w:color="000000" w:fill="FFFFFF"/>
            <w:vAlign w:val="center"/>
            <w:hideMark/>
          </w:tcPr>
          <w:p w14:paraId="21E26B2B"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205,153,453</w:t>
            </w:r>
          </w:p>
        </w:tc>
      </w:tr>
      <w:tr w:rsidR="005B740F" w:rsidRPr="00853666" w14:paraId="2D31081D" w14:textId="77777777" w:rsidTr="00853666">
        <w:trPr>
          <w:trHeight w:val="287"/>
        </w:trPr>
        <w:tc>
          <w:tcPr>
            <w:tcW w:w="4977" w:type="dxa"/>
            <w:tcBorders>
              <w:top w:val="nil"/>
              <w:left w:val="single" w:sz="8" w:space="0" w:color="auto"/>
              <w:bottom w:val="single" w:sz="8" w:space="0" w:color="auto"/>
              <w:right w:val="single" w:sz="8" w:space="0" w:color="auto"/>
            </w:tcBorders>
            <w:shd w:val="clear" w:color="000000" w:fill="FFFFFF"/>
            <w:noWrap/>
            <w:vAlign w:val="center"/>
            <w:hideMark/>
          </w:tcPr>
          <w:p w14:paraId="63618C91"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 xml:space="preserve">Suma </w:t>
            </w:r>
          </w:p>
        </w:tc>
        <w:tc>
          <w:tcPr>
            <w:tcW w:w="2223" w:type="dxa"/>
            <w:tcBorders>
              <w:top w:val="nil"/>
              <w:left w:val="nil"/>
              <w:bottom w:val="single" w:sz="8" w:space="0" w:color="auto"/>
              <w:right w:val="single" w:sz="8" w:space="0" w:color="auto"/>
            </w:tcBorders>
            <w:shd w:val="clear" w:color="000000" w:fill="FFFFFF"/>
            <w:vAlign w:val="center"/>
            <w:hideMark/>
          </w:tcPr>
          <w:p w14:paraId="305A930F"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15,015,270,654</w:t>
            </w:r>
          </w:p>
        </w:tc>
        <w:tc>
          <w:tcPr>
            <w:tcW w:w="2006" w:type="dxa"/>
            <w:tcBorders>
              <w:top w:val="nil"/>
              <w:left w:val="nil"/>
              <w:bottom w:val="single" w:sz="8" w:space="0" w:color="auto"/>
              <w:right w:val="single" w:sz="8" w:space="0" w:color="auto"/>
            </w:tcBorders>
            <w:shd w:val="clear" w:color="000000" w:fill="FFFFFF"/>
            <w:vAlign w:val="center"/>
            <w:hideMark/>
          </w:tcPr>
          <w:p w14:paraId="1DC86E02"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13,961,409,497</w:t>
            </w:r>
          </w:p>
        </w:tc>
      </w:tr>
    </w:tbl>
    <w:p w14:paraId="4D10FBA7" w14:textId="77777777" w:rsidR="009C05EA" w:rsidRPr="00853666" w:rsidRDefault="009C05EA">
      <w:pPr>
        <w:tabs>
          <w:tab w:val="right" w:pos="8931"/>
        </w:tabs>
        <w:jc w:val="both"/>
        <w:rPr>
          <w:rFonts w:ascii="Monsserrat" w:hAnsi="Monsserrat"/>
          <w:b/>
          <w:sz w:val="26"/>
          <w:szCs w:val="26"/>
        </w:rPr>
      </w:pPr>
    </w:p>
    <w:p w14:paraId="1F931B93" w14:textId="77777777" w:rsidR="009C05EA" w:rsidRPr="00853666" w:rsidRDefault="009C05EA">
      <w:pPr>
        <w:tabs>
          <w:tab w:val="right" w:pos="8931"/>
        </w:tabs>
        <w:jc w:val="both"/>
        <w:rPr>
          <w:rFonts w:ascii="Monsserrat" w:hAnsi="Monsserrat"/>
          <w:sz w:val="26"/>
          <w:szCs w:val="26"/>
        </w:rPr>
      </w:pPr>
    </w:p>
    <w:p w14:paraId="69958B13" w14:textId="77777777" w:rsidR="00A63762" w:rsidRPr="00853666" w:rsidRDefault="00A63762">
      <w:pPr>
        <w:tabs>
          <w:tab w:val="right" w:pos="8931"/>
        </w:tabs>
        <w:jc w:val="both"/>
        <w:rPr>
          <w:rFonts w:ascii="Monsserrat" w:hAnsi="Monsserrat"/>
          <w:sz w:val="26"/>
          <w:szCs w:val="26"/>
        </w:rPr>
      </w:pPr>
    </w:p>
    <w:p w14:paraId="4B4E89C9" w14:textId="77777777" w:rsidR="009C05EA" w:rsidRPr="00853666" w:rsidRDefault="00B66A10">
      <w:pPr>
        <w:tabs>
          <w:tab w:val="right" w:pos="8931"/>
        </w:tabs>
        <w:jc w:val="both"/>
        <w:rPr>
          <w:rFonts w:ascii="Monsserrat" w:hAnsi="Monsserrat"/>
          <w:b/>
          <w:sz w:val="26"/>
          <w:szCs w:val="26"/>
        </w:rPr>
      </w:pPr>
      <w:r w:rsidRPr="00853666">
        <w:rPr>
          <w:rFonts w:ascii="Monsserrat" w:hAnsi="Monsserrat"/>
          <w:sz w:val="26"/>
          <w:szCs w:val="26"/>
        </w:rPr>
        <w:t>Como resultado de las acciones de depuración de obras en proceso de ejercicios anteriores, determinadas por el Consejo Estatal de Armonización Contable del Estado de Oaxaca se observa una disminución en este rubro, acción que contribuye a mejorar la presentación de la información financiera del Gobierno del Estado.</w:t>
      </w:r>
    </w:p>
    <w:p w14:paraId="1F08B83E" w14:textId="77777777" w:rsidR="009C05EA" w:rsidRPr="00853666" w:rsidRDefault="009C05EA">
      <w:pPr>
        <w:rPr>
          <w:rFonts w:ascii="Monsserrat" w:hAnsi="Monsserrat"/>
          <w:b/>
          <w:sz w:val="26"/>
          <w:szCs w:val="26"/>
        </w:rPr>
      </w:pPr>
    </w:p>
    <w:p w14:paraId="2C90DC4B" w14:textId="77777777" w:rsidR="009C05EA" w:rsidRPr="00853666" w:rsidRDefault="009C05EA">
      <w:pPr>
        <w:rPr>
          <w:rFonts w:ascii="Monsserrat" w:hAnsi="Monsserrat"/>
          <w:b/>
          <w:sz w:val="26"/>
          <w:szCs w:val="26"/>
        </w:rPr>
      </w:pPr>
    </w:p>
    <w:p w14:paraId="4C6004CF" w14:textId="77777777" w:rsidR="009C05EA" w:rsidRPr="00853666" w:rsidRDefault="00B66A10">
      <w:pPr>
        <w:rPr>
          <w:rFonts w:ascii="Monsserrat" w:hAnsi="Monsserrat"/>
          <w:b/>
          <w:sz w:val="26"/>
          <w:szCs w:val="26"/>
        </w:rPr>
      </w:pPr>
      <w:r w:rsidRPr="00853666">
        <w:rPr>
          <w:rFonts w:ascii="Monsserrat" w:hAnsi="Monsserrat"/>
          <w:b/>
          <w:sz w:val="26"/>
          <w:szCs w:val="26"/>
        </w:rPr>
        <w:t>Nota 6.-Bienes Muebles.</w:t>
      </w:r>
    </w:p>
    <w:p w14:paraId="1AA551B1" w14:textId="77777777" w:rsidR="009C05EA" w:rsidRPr="00853666" w:rsidRDefault="009C05EA">
      <w:pPr>
        <w:jc w:val="both"/>
        <w:rPr>
          <w:rFonts w:ascii="Monsserrat" w:hAnsi="Monsserrat"/>
          <w:b/>
          <w:sz w:val="26"/>
          <w:szCs w:val="26"/>
        </w:rPr>
      </w:pPr>
    </w:p>
    <w:p w14:paraId="533BBAA2" w14:textId="77777777" w:rsidR="009C05EA" w:rsidRPr="00853666" w:rsidRDefault="009C05EA">
      <w:pPr>
        <w:jc w:val="both"/>
        <w:rPr>
          <w:rFonts w:ascii="Monsserrat" w:hAnsi="Monsserrat"/>
          <w:b/>
          <w:sz w:val="26"/>
          <w:szCs w:val="26"/>
        </w:rPr>
      </w:pPr>
    </w:p>
    <w:p w14:paraId="3573AFB2"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enero-junio  de 2022  y 2021, se detalla a continuación:</w:t>
      </w:r>
    </w:p>
    <w:p w14:paraId="32280726" w14:textId="77777777" w:rsidR="00A63762" w:rsidRPr="00853666" w:rsidRDefault="00A63762" w:rsidP="00A63762">
      <w:pPr>
        <w:rPr>
          <w:rFonts w:ascii="Monsserrat" w:hAnsi="Monsserrat"/>
          <w:sz w:val="26"/>
          <w:szCs w:val="26"/>
        </w:rPr>
      </w:pPr>
    </w:p>
    <w:p w14:paraId="44A6FB38" w14:textId="77777777" w:rsidR="00A63762" w:rsidRPr="00853666" w:rsidRDefault="00A63762" w:rsidP="00A63762">
      <w:pPr>
        <w:rPr>
          <w:rFonts w:ascii="Monsserrat" w:hAnsi="Monsserrat"/>
          <w:sz w:val="26"/>
          <w:szCs w:val="26"/>
        </w:rPr>
      </w:pPr>
    </w:p>
    <w:p w14:paraId="550078F2" w14:textId="77777777" w:rsidR="009C05EA" w:rsidRPr="00853666" w:rsidRDefault="00B66A10" w:rsidP="00A63762">
      <w:pPr>
        <w:jc w:val="center"/>
        <w:rPr>
          <w:rFonts w:ascii="Monsserrat" w:hAnsi="Monsserrat"/>
          <w:sz w:val="26"/>
          <w:szCs w:val="26"/>
        </w:rPr>
      </w:pPr>
      <w:r w:rsidRPr="00853666">
        <w:rPr>
          <w:rFonts w:ascii="Monsserrat" w:hAnsi="Monsserrat"/>
          <w:b/>
          <w:sz w:val="26"/>
          <w:szCs w:val="26"/>
        </w:rPr>
        <w:t>(Pesos)</w:t>
      </w:r>
    </w:p>
    <w:tbl>
      <w:tblPr>
        <w:tblW w:w="9024" w:type="dxa"/>
        <w:tblInd w:w="55" w:type="dxa"/>
        <w:tblCellMar>
          <w:left w:w="70" w:type="dxa"/>
          <w:right w:w="70" w:type="dxa"/>
        </w:tblCellMar>
        <w:tblLook w:val="04A0" w:firstRow="1" w:lastRow="0" w:firstColumn="1" w:lastColumn="0" w:noHBand="0" w:noVBand="1"/>
      </w:tblPr>
      <w:tblGrid>
        <w:gridCol w:w="4707"/>
        <w:gridCol w:w="2353"/>
        <w:gridCol w:w="1964"/>
      </w:tblGrid>
      <w:tr w:rsidR="005B740F" w:rsidRPr="00853666" w14:paraId="679F7000" w14:textId="77777777" w:rsidTr="00FD3EAB">
        <w:trPr>
          <w:trHeight w:val="315"/>
        </w:trPr>
        <w:tc>
          <w:tcPr>
            <w:tcW w:w="470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0E2CC172"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53" w:type="dxa"/>
            <w:tcBorders>
              <w:top w:val="single" w:sz="8" w:space="0" w:color="auto"/>
              <w:left w:val="nil"/>
              <w:bottom w:val="single" w:sz="8" w:space="0" w:color="auto"/>
              <w:right w:val="single" w:sz="8" w:space="0" w:color="auto"/>
            </w:tcBorders>
            <w:shd w:val="clear" w:color="000000" w:fill="828282"/>
            <w:vAlign w:val="center"/>
            <w:hideMark/>
          </w:tcPr>
          <w:p w14:paraId="6605EA9C"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64" w:type="dxa"/>
            <w:tcBorders>
              <w:top w:val="single" w:sz="8" w:space="0" w:color="auto"/>
              <w:left w:val="nil"/>
              <w:bottom w:val="single" w:sz="8" w:space="0" w:color="auto"/>
              <w:right w:val="single" w:sz="8" w:space="0" w:color="auto"/>
            </w:tcBorders>
            <w:shd w:val="clear" w:color="000000" w:fill="828282"/>
            <w:vAlign w:val="center"/>
            <w:hideMark/>
          </w:tcPr>
          <w:p w14:paraId="0C06455B"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56BF0551" w14:textId="77777777" w:rsidTr="00FD3EAB">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6A9895D3"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Mobiliario y Equipo de Administración</w:t>
            </w:r>
          </w:p>
        </w:tc>
        <w:tc>
          <w:tcPr>
            <w:tcW w:w="2353" w:type="dxa"/>
            <w:tcBorders>
              <w:top w:val="nil"/>
              <w:left w:val="nil"/>
              <w:bottom w:val="nil"/>
              <w:right w:val="single" w:sz="8" w:space="0" w:color="auto"/>
            </w:tcBorders>
            <w:shd w:val="clear" w:color="000000" w:fill="FFFFFF"/>
            <w:noWrap/>
            <w:vAlign w:val="center"/>
            <w:hideMark/>
          </w:tcPr>
          <w:p w14:paraId="7AB8BA15"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545,635,832</w:t>
            </w:r>
          </w:p>
        </w:tc>
        <w:tc>
          <w:tcPr>
            <w:tcW w:w="1964" w:type="dxa"/>
            <w:tcBorders>
              <w:top w:val="nil"/>
              <w:left w:val="nil"/>
              <w:bottom w:val="nil"/>
              <w:right w:val="single" w:sz="8" w:space="0" w:color="auto"/>
            </w:tcBorders>
            <w:shd w:val="clear" w:color="000000" w:fill="FFFFFF"/>
            <w:noWrap/>
            <w:vAlign w:val="center"/>
            <w:hideMark/>
          </w:tcPr>
          <w:p w14:paraId="1BC7B03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635,543,821</w:t>
            </w:r>
          </w:p>
        </w:tc>
      </w:tr>
      <w:tr w:rsidR="005B740F" w:rsidRPr="00853666" w14:paraId="75EC9FFA" w14:textId="77777777" w:rsidTr="00FD3EAB">
        <w:trPr>
          <w:trHeight w:val="573"/>
        </w:trPr>
        <w:tc>
          <w:tcPr>
            <w:tcW w:w="4707" w:type="dxa"/>
            <w:tcBorders>
              <w:top w:val="nil"/>
              <w:left w:val="single" w:sz="8" w:space="0" w:color="auto"/>
              <w:bottom w:val="nil"/>
              <w:right w:val="single" w:sz="8" w:space="0" w:color="auto"/>
            </w:tcBorders>
            <w:shd w:val="clear" w:color="000000" w:fill="FFFFFF"/>
            <w:noWrap/>
            <w:vAlign w:val="center"/>
            <w:hideMark/>
          </w:tcPr>
          <w:p w14:paraId="793BD322"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Mobiliario y Equipo Educacional y Recreativo</w:t>
            </w:r>
          </w:p>
        </w:tc>
        <w:tc>
          <w:tcPr>
            <w:tcW w:w="2353" w:type="dxa"/>
            <w:tcBorders>
              <w:top w:val="nil"/>
              <w:left w:val="nil"/>
              <w:bottom w:val="nil"/>
              <w:right w:val="single" w:sz="8" w:space="0" w:color="auto"/>
            </w:tcBorders>
            <w:shd w:val="clear" w:color="000000" w:fill="FFFFFF"/>
            <w:noWrap/>
            <w:vAlign w:val="center"/>
            <w:hideMark/>
          </w:tcPr>
          <w:p w14:paraId="071FAFF9"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178,900,150</w:t>
            </w:r>
          </w:p>
        </w:tc>
        <w:tc>
          <w:tcPr>
            <w:tcW w:w="1964" w:type="dxa"/>
            <w:tcBorders>
              <w:top w:val="nil"/>
              <w:left w:val="nil"/>
              <w:bottom w:val="nil"/>
              <w:right w:val="single" w:sz="8" w:space="0" w:color="auto"/>
            </w:tcBorders>
            <w:shd w:val="clear" w:color="000000" w:fill="FFFFFF"/>
            <w:noWrap/>
            <w:vAlign w:val="center"/>
            <w:hideMark/>
          </w:tcPr>
          <w:p w14:paraId="65AE973B"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181,549,904</w:t>
            </w:r>
          </w:p>
        </w:tc>
      </w:tr>
      <w:tr w:rsidR="005B740F" w:rsidRPr="00853666" w14:paraId="0C26A9C9" w14:textId="77777777" w:rsidTr="00FD3EAB">
        <w:trPr>
          <w:trHeight w:val="573"/>
        </w:trPr>
        <w:tc>
          <w:tcPr>
            <w:tcW w:w="4707" w:type="dxa"/>
            <w:tcBorders>
              <w:top w:val="nil"/>
              <w:left w:val="single" w:sz="8" w:space="0" w:color="auto"/>
              <w:bottom w:val="nil"/>
              <w:right w:val="single" w:sz="8" w:space="0" w:color="auto"/>
            </w:tcBorders>
            <w:shd w:val="clear" w:color="000000" w:fill="FFFFFF"/>
            <w:noWrap/>
            <w:vAlign w:val="center"/>
            <w:hideMark/>
          </w:tcPr>
          <w:p w14:paraId="11C22918"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Equipo e Instrumental Médico y de Laboratorio</w:t>
            </w:r>
          </w:p>
        </w:tc>
        <w:tc>
          <w:tcPr>
            <w:tcW w:w="2353" w:type="dxa"/>
            <w:tcBorders>
              <w:top w:val="nil"/>
              <w:left w:val="nil"/>
              <w:bottom w:val="nil"/>
              <w:right w:val="single" w:sz="8" w:space="0" w:color="auto"/>
            </w:tcBorders>
            <w:shd w:val="clear" w:color="000000" w:fill="FFFFFF"/>
            <w:noWrap/>
            <w:vAlign w:val="center"/>
            <w:hideMark/>
          </w:tcPr>
          <w:p w14:paraId="60AF2727"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18,626,491</w:t>
            </w:r>
          </w:p>
        </w:tc>
        <w:tc>
          <w:tcPr>
            <w:tcW w:w="1964" w:type="dxa"/>
            <w:tcBorders>
              <w:top w:val="nil"/>
              <w:left w:val="nil"/>
              <w:bottom w:val="nil"/>
              <w:right w:val="single" w:sz="8" w:space="0" w:color="auto"/>
            </w:tcBorders>
            <w:shd w:val="clear" w:color="000000" w:fill="FFFFFF"/>
            <w:noWrap/>
            <w:vAlign w:val="center"/>
            <w:hideMark/>
          </w:tcPr>
          <w:p w14:paraId="3A7DEE2B"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18,403,510</w:t>
            </w:r>
          </w:p>
        </w:tc>
      </w:tr>
      <w:tr w:rsidR="005B740F" w:rsidRPr="00853666" w14:paraId="6F04E16E" w14:textId="77777777" w:rsidTr="00FD3EAB">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424C4668"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Vehículos y Equipo de Transporte</w:t>
            </w:r>
          </w:p>
        </w:tc>
        <w:tc>
          <w:tcPr>
            <w:tcW w:w="2353" w:type="dxa"/>
            <w:tcBorders>
              <w:top w:val="nil"/>
              <w:left w:val="nil"/>
              <w:bottom w:val="nil"/>
              <w:right w:val="single" w:sz="8" w:space="0" w:color="auto"/>
            </w:tcBorders>
            <w:shd w:val="clear" w:color="000000" w:fill="FFFFFF"/>
            <w:noWrap/>
            <w:vAlign w:val="center"/>
            <w:hideMark/>
          </w:tcPr>
          <w:p w14:paraId="0335DB1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1,065,049,549</w:t>
            </w:r>
          </w:p>
        </w:tc>
        <w:tc>
          <w:tcPr>
            <w:tcW w:w="1964" w:type="dxa"/>
            <w:tcBorders>
              <w:top w:val="nil"/>
              <w:left w:val="nil"/>
              <w:bottom w:val="nil"/>
              <w:right w:val="single" w:sz="8" w:space="0" w:color="auto"/>
            </w:tcBorders>
            <w:shd w:val="clear" w:color="000000" w:fill="FFFFFF"/>
            <w:noWrap/>
            <w:vAlign w:val="center"/>
            <w:hideMark/>
          </w:tcPr>
          <w:p w14:paraId="442232D5"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1,177,502,503</w:t>
            </w:r>
          </w:p>
        </w:tc>
      </w:tr>
      <w:tr w:rsidR="005B740F" w:rsidRPr="00853666" w14:paraId="21CAEFAA" w14:textId="77777777" w:rsidTr="00FD3EAB">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294937D1"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Equipo de Defensa y Seguridad</w:t>
            </w:r>
          </w:p>
        </w:tc>
        <w:tc>
          <w:tcPr>
            <w:tcW w:w="2353" w:type="dxa"/>
            <w:tcBorders>
              <w:top w:val="nil"/>
              <w:left w:val="nil"/>
              <w:bottom w:val="nil"/>
              <w:right w:val="single" w:sz="8" w:space="0" w:color="auto"/>
            </w:tcBorders>
            <w:shd w:val="clear" w:color="000000" w:fill="FFFFFF"/>
            <w:noWrap/>
            <w:vAlign w:val="center"/>
            <w:hideMark/>
          </w:tcPr>
          <w:p w14:paraId="78EF145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159,493,321</w:t>
            </w:r>
          </w:p>
        </w:tc>
        <w:tc>
          <w:tcPr>
            <w:tcW w:w="1964" w:type="dxa"/>
            <w:tcBorders>
              <w:top w:val="nil"/>
              <w:left w:val="nil"/>
              <w:bottom w:val="nil"/>
              <w:right w:val="single" w:sz="8" w:space="0" w:color="auto"/>
            </w:tcBorders>
            <w:shd w:val="clear" w:color="000000" w:fill="FFFFFF"/>
            <w:noWrap/>
            <w:vAlign w:val="center"/>
            <w:hideMark/>
          </w:tcPr>
          <w:p w14:paraId="06EBDEB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159,591,559</w:t>
            </w:r>
          </w:p>
        </w:tc>
      </w:tr>
      <w:tr w:rsidR="005B740F" w:rsidRPr="00853666" w14:paraId="589076DA" w14:textId="77777777" w:rsidTr="00FD3EAB">
        <w:trPr>
          <w:trHeight w:val="287"/>
        </w:trPr>
        <w:tc>
          <w:tcPr>
            <w:tcW w:w="4707" w:type="dxa"/>
            <w:tcBorders>
              <w:top w:val="nil"/>
              <w:left w:val="single" w:sz="8" w:space="0" w:color="auto"/>
              <w:bottom w:val="nil"/>
              <w:right w:val="single" w:sz="8" w:space="0" w:color="auto"/>
            </w:tcBorders>
            <w:shd w:val="clear" w:color="000000" w:fill="FFFFFF"/>
            <w:noWrap/>
            <w:vAlign w:val="center"/>
            <w:hideMark/>
          </w:tcPr>
          <w:p w14:paraId="01590B8D"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Maquinaria, Otros Equipos y Herramientas</w:t>
            </w:r>
          </w:p>
        </w:tc>
        <w:tc>
          <w:tcPr>
            <w:tcW w:w="2353" w:type="dxa"/>
            <w:tcBorders>
              <w:top w:val="nil"/>
              <w:left w:val="nil"/>
              <w:bottom w:val="nil"/>
              <w:right w:val="single" w:sz="8" w:space="0" w:color="auto"/>
            </w:tcBorders>
            <w:shd w:val="clear" w:color="000000" w:fill="FFFFFF"/>
            <w:noWrap/>
            <w:vAlign w:val="center"/>
            <w:hideMark/>
          </w:tcPr>
          <w:p w14:paraId="501CDBF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341,968,975</w:t>
            </w:r>
          </w:p>
        </w:tc>
        <w:tc>
          <w:tcPr>
            <w:tcW w:w="1964" w:type="dxa"/>
            <w:tcBorders>
              <w:top w:val="nil"/>
              <w:left w:val="nil"/>
              <w:bottom w:val="nil"/>
              <w:right w:val="single" w:sz="8" w:space="0" w:color="auto"/>
            </w:tcBorders>
            <w:shd w:val="clear" w:color="000000" w:fill="FFFFFF"/>
            <w:noWrap/>
            <w:vAlign w:val="center"/>
            <w:hideMark/>
          </w:tcPr>
          <w:p w14:paraId="7E2E7D79"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361,335,372</w:t>
            </w:r>
          </w:p>
        </w:tc>
      </w:tr>
      <w:tr w:rsidR="005B740F" w:rsidRPr="00853666" w14:paraId="63AF6D3F" w14:textId="77777777" w:rsidTr="00FD3EAB">
        <w:trPr>
          <w:trHeight w:val="573"/>
        </w:trPr>
        <w:tc>
          <w:tcPr>
            <w:tcW w:w="4707" w:type="dxa"/>
            <w:tcBorders>
              <w:top w:val="nil"/>
              <w:left w:val="single" w:sz="8" w:space="0" w:color="auto"/>
              <w:bottom w:val="nil"/>
              <w:right w:val="single" w:sz="8" w:space="0" w:color="auto"/>
            </w:tcBorders>
            <w:shd w:val="clear" w:color="000000" w:fill="FFFFFF"/>
            <w:noWrap/>
            <w:vAlign w:val="center"/>
            <w:hideMark/>
          </w:tcPr>
          <w:p w14:paraId="392C789D"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Colecciones, Obras de Arte y Objetos Valiosos</w:t>
            </w:r>
          </w:p>
        </w:tc>
        <w:tc>
          <w:tcPr>
            <w:tcW w:w="2353" w:type="dxa"/>
            <w:tcBorders>
              <w:top w:val="nil"/>
              <w:left w:val="nil"/>
              <w:bottom w:val="nil"/>
              <w:right w:val="single" w:sz="8" w:space="0" w:color="auto"/>
            </w:tcBorders>
            <w:shd w:val="clear" w:color="000000" w:fill="FFFFFF"/>
            <w:noWrap/>
            <w:vAlign w:val="center"/>
            <w:hideMark/>
          </w:tcPr>
          <w:p w14:paraId="7A1BFCB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51,043,258</w:t>
            </w:r>
          </w:p>
        </w:tc>
        <w:tc>
          <w:tcPr>
            <w:tcW w:w="1964" w:type="dxa"/>
            <w:tcBorders>
              <w:top w:val="nil"/>
              <w:left w:val="nil"/>
              <w:bottom w:val="nil"/>
              <w:right w:val="single" w:sz="8" w:space="0" w:color="auto"/>
            </w:tcBorders>
            <w:shd w:val="clear" w:color="000000" w:fill="FFFFFF"/>
            <w:noWrap/>
            <w:vAlign w:val="center"/>
            <w:hideMark/>
          </w:tcPr>
          <w:p w14:paraId="1EBA147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36,078,590</w:t>
            </w:r>
          </w:p>
        </w:tc>
      </w:tr>
      <w:tr w:rsidR="005B740F" w:rsidRPr="00853666" w14:paraId="2AE7755E" w14:textId="77777777" w:rsidTr="00FD3EAB">
        <w:trPr>
          <w:trHeight w:val="301"/>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5BFEF22F"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Activos Biológicos</w:t>
            </w:r>
          </w:p>
        </w:tc>
        <w:tc>
          <w:tcPr>
            <w:tcW w:w="2353" w:type="dxa"/>
            <w:tcBorders>
              <w:top w:val="nil"/>
              <w:left w:val="nil"/>
              <w:bottom w:val="single" w:sz="8" w:space="0" w:color="auto"/>
              <w:right w:val="single" w:sz="8" w:space="0" w:color="auto"/>
            </w:tcBorders>
            <w:shd w:val="clear" w:color="000000" w:fill="FFFFFF"/>
            <w:noWrap/>
            <w:vAlign w:val="center"/>
            <w:hideMark/>
          </w:tcPr>
          <w:p w14:paraId="5E9DEF48"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30,000</w:t>
            </w:r>
          </w:p>
        </w:tc>
        <w:tc>
          <w:tcPr>
            <w:tcW w:w="1964" w:type="dxa"/>
            <w:tcBorders>
              <w:top w:val="nil"/>
              <w:left w:val="nil"/>
              <w:bottom w:val="single" w:sz="8" w:space="0" w:color="auto"/>
              <w:right w:val="single" w:sz="8" w:space="0" w:color="auto"/>
            </w:tcBorders>
            <w:shd w:val="clear" w:color="000000" w:fill="FFFFFF"/>
            <w:noWrap/>
            <w:vAlign w:val="center"/>
            <w:hideMark/>
          </w:tcPr>
          <w:p w14:paraId="6BF180CF"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319,300</w:t>
            </w:r>
          </w:p>
        </w:tc>
      </w:tr>
      <w:tr w:rsidR="005B740F" w:rsidRPr="00853666" w14:paraId="4F3CF006" w14:textId="77777777" w:rsidTr="00FD3EAB">
        <w:trPr>
          <w:trHeight w:val="315"/>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0C8E6DD8"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53" w:type="dxa"/>
            <w:tcBorders>
              <w:top w:val="nil"/>
              <w:left w:val="nil"/>
              <w:bottom w:val="single" w:sz="8" w:space="0" w:color="auto"/>
              <w:right w:val="single" w:sz="8" w:space="0" w:color="auto"/>
            </w:tcBorders>
            <w:shd w:val="clear" w:color="000000" w:fill="FFFFFF"/>
            <w:vAlign w:val="center"/>
            <w:hideMark/>
          </w:tcPr>
          <w:p w14:paraId="4F18B103"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2,360,747,575</w:t>
            </w:r>
          </w:p>
        </w:tc>
        <w:tc>
          <w:tcPr>
            <w:tcW w:w="1964" w:type="dxa"/>
            <w:tcBorders>
              <w:top w:val="nil"/>
              <w:left w:val="nil"/>
              <w:bottom w:val="single" w:sz="8" w:space="0" w:color="auto"/>
              <w:right w:val="single" w:sz="8" w:space="0" w:color="auto"/>
            </w:tcBorders>
            <w:shd w:val="clear" w:color="000000" w:fill="FFFFFF"/>
            <w:vAlign w:val="center"/>
            <w:hideMark/>
          </w:tcPr>
          <w:p w14:paraId="014BAD1D"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2,570,324,558</w:t>
            </w:r>
          </w:p>
        </w:tc>
      </w:tr>
    </w:tbl>
    <w:p w14:paraId="6FD102C0" w14:textId="77777777" w:rsidR="009C05EA" w:rsidRPr="00853666" w:rsidRDefault="009C05EA">
      <w:pPr>
        <w:jc w:val="both"/>
        <w:rPr>
          <w:rFonts w:ascii="Monsserrat" w:hAnsi="Monsserrat"/>
          <w:b/>
          <w:sz w:val="26"/>
          <w:szCs w:val="26"/>
        </w:rPr>
      </w:pPr>
    </w:p>
    <w:p w14:paraId="40636C9F" w14:textId="77777777" w:rsidR="00A63762" w:rsidRPr="00853666" w:rsidRDefault="00A63762">
      <w:pPr>
        <w:jc w:val="both"/>
        <w:rPr>
          <w:rFonts w:ascii="Monsserrat" w:hAnsi="Monsserrat"/>
          <w:b/>
          <w:sz w:val="26"/>
          <w:szCs w:val="26"/>
        </w:rPr>
      </w:pPr>
    </w:p>
    <w:p w14:paraId="06DCE347" w14:textId="77777777" w:rsidR="009C05EA" w:rsidRPr="00853666" w:rsidRDefault="00B66A10">
      <w:pPr>
        <w:jc w:val="both"/>
        <w:rPr>
          <w:rFonts w:ascii="Monsserrat" w:hAnsi="Monsserrat"/>
          <w:b/>
          <w:sz w:val="26"/>
          <w:szCs w:val="26"/>
        </w:rPr>
      </w:pPr>
      <w:r w:rsidRPr="00853666">
        <w:rPr>
          <w:rFonts w:ascii="Monsserrat" w:hAnsi="Monsserrat"/>
          <w:b/>
          <w:sz w:val="26"/>
          <w:szCs w:val="26"/>
        </w:rPr>
        <w:t>Nota 7.-Activos Intangibles.</w:t>
      </w:r>
    </w:p>
    <w:p w14:paraId="6307CC05" w14:textId="77777777" w:rsidR="009C05EA" w:rsidRPr="00853666" w:rsidRDefault="009C05EA">
      <w:pPr>
        <w:jc w:val="both"/>
        <w:rPr>
          <w:rFonts w:ascii="Monsserrat" w:hAnsi="Monsserrat"/>
          <w:b/>
          <w:sz w:val="26"/>
          <w:szCs w:val="26"/>
        </w:rPr>
      </w:pPr>
    </w:p>
    <w:p w14:paraId="3D2AC29E" w14:textId="77777777" w:rsidR="009C05EA" w:rsidRPr="00853666" w:rsidRDefault="009C05EA">
      <w:pPr>
        <w:jc w:val="both"/>
        <w:rPr>
          <w:rFonts w:ascii="Monsserrat" w:hAnsi="Monsserrat"/>
          <w:b/>
          <w:sz w:val="26"/>
          <w:szCs w:val="26"/>
        </w:rPr>
      </w:pPr>
    </w:p>
    <w:p w14:paraId="2C790955"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El saldo de este rubro representa el valor de los bienes intangibles propiedad del Poder Ejecutivo por concepto de software y licencias por el uso de los derechos.</w:t>
      </w:r>
    </w:p>
    <w:p w14:paraId="3A67C4DE" w14:textId="77777777" w:rsidR="009C05EA" w:rsidRPr="00853666" w:rsidRDefault="009C05EA">
      <w:pPr>
        <w:pBdr>
          <w:top w:val="nil"/>
          <w:left w:val="nil"/>
          <w:bottom w:val="nil"/>
          <w:right w:val="nil"/>
          <w:between w:val="nil"/>
        </w:pBdr>
        <w:jc w:val="both"/>
        <w:rPr>
          <w:rFonts w:ascii="Monsserrat" w:hAnsi="Monsserrat"/>
          <w:sz w:val="26"/>
          <w:szCs w:val="26"/>
        </w:rPr>
      </w:pPr>
    </w:p>
    <w:p w14:paraId="39F83AF6"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El saldo de estos activos se integra al cierre del periodo enero-junio de 2022 y 2021, de:</w:t>
      </w:r>
    </w:p>
    <w:p w14:paraId="02FABFB2" w14:textId="77777777" w:rsidR="009C05EA" w:rsidRPr="00853666" w:rsidRDefault="009C05EA">
      <w:pPr>
        <w:pBdr>
          <w:top w:val="nil"/>
          <w:left w:val="nil"/>
          <w:bottom w:val="nil"/>
          <w:right w:val="nil"/>
          <w:between w:val="nil"/>
        </w:pBdr>
        <w:jc w:val="both"/>
        <w:rPr>
          <w:rFonts w:ascii="Monsserrat" w:hAnsi="Monsserrat"/>
          <w:sz w:val="26"/>
          <w:szCs w:val="26"/>
        </w:rPr>
      </w:pPr>
    </w:p>
    <w:p w14:paraId="6898B859" w14:textId="77777777" w:rsidR="009C05EA" w:rsidRPr="00853666" w:rsidRDefault="00B66A10">
      <w:pPr>
        <w:pBdr>
          <w:top w:val="nil"/>
          <w:left w:val="nil"/>
          <w:bottom w:val="nil"/>
          <w:right w:val="nil"/>
          <w:between w:val="nil"/>
        </w:pBdr>
        <w:jc w:val="center"/>
        <w:rPr>
          <w:rFonts w:ascii="Monsserrat" w:hAnsi="Monsserrat"/>
          <w:sz w:val="26"/>
          <w:szCs w:val="26"/>
        </w:rPr>
      </w:pPr>
      <w:r w:rsidRPr="00853666">
        <w:rPr>
          <w:rFonts w:ascii="Monsserrat" w:hAnsi="Monsserrat"/>
          <w:b/>
          <w:sz w:val="26"/>
          <w:szCs w:val="26"/>
        </w:rPr>
        <w:t>(Pesos)</w:t>
      </w:r>
    </w:p>
    <w:tbl>
      <w:tblPr>
        <w:tblW w:w="9024" w:type="dxa"/>
        <w:tblInd w:w="55" w:type="dxa"/>
        <w:tblCellMar>
          <w:left w:w="70" w:type="dxa"/>
          <w:right w:w="70" w:type="dxa"/>
        </w:tblCellMar>
        <w:tblLook w:val="04A0" w:firstRow="1" w:lastRow="0" w:firstColumn="1" w:lastColumn="0" w:noHBand="0" w:noVBand="1"/>
      </w:tblPr>
      <w:tblGrid>
        <w:gridCol w:w="4707"/>
        <w:gridCol w:w="2353"/>
        <w:gridCol w:w="1964"/>
      </w:tblGrid>
      <w:tr w:rsidR="005B740F" w:rsidRPr="00853666" w14:paraId="5606F263" w14:textId="77777777" w:rsidTr="00FD3EAB">
        <w:trPr>
          <w:trHeight w:val="342"/>
        </w:trPr>
        <w:tc>
          <w:tcPr>
            <w:tcW w:w="4707"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5E52060"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53" w:type="dxa"/>
            <w:tcBorders>
              <w:top w:val="single" w:sz="8" w:space="0" w:color="auto"/>
              <w:left w:val="nil"/>
              <w:bottom w:val="single" w:sz="8" w:space="0" w:color="auto"/>
              <w:right w:val="single" w:sz="8" w:space="0" w:color="auto"/>
            </w:tcBorders>
            <w:shd w:val="clear" w:color="000000" w:fill="828282"/>
            <w:vAlign w:val="center"/>
            <w:hideMark/>
          </w:tcPr>
          <w:p w14:paraId="0217DEE4"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64" w:type="dxa"/>
            <w:tcBorders>
              <w:top w:val="single" w:sz="8" w:space="0" w:color="auto"/>
              <w:left w:val="nil"/>
              <w:bottom w:val="single" w:sz="8" w:space="0" w:color="auto"/>
              <w:right w:val="single" w:sz="8" w:space="0" w:color="auto"/>
            </w:tcBorders>
            <w:shd w:val="clear" w:color="000000" w:fill="828282"/>
            <w:vAlign w:val="center"/>
            <w:hideMark/>
          </w:tcPr>
          <w:p w14:paraId="68CE8666"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286D38D9" w14:textId="77777777" w:rsidTr="00FD3EAB">
        <w:trPr>
          <w:trHeight w:val="311"/>
        </w:trPr>
        <w:tc>
          <w:tcPr>
            <w:tcW w:w="4707" w:type="dxa"/>
            <w:tcBorders>
              <w:top w:val="nil"/>
              <w:left w:val="single" w:sz="8" w:space="0" w:color="auto"/>
              <w:bottom w:val="nil"/>
              <w:right w:val="single" w:sz="8" w:space="0" w:color="auto"/>
            </w:tcBorders>
            <w:shd w:val="clear" w:color="000000" w:fill="FFFFFF"/>
            <w:noWrap/>
            <w:vAlign w:val="center"/>
            <w:hideMark/>
          </w:tcPr>
          <w:p w14:paraId="638DB00E"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Software</w:t>
            </w:r>
          </w:p>
        </w:tc>
        <w:tc>
          <w:tcPr>
            <w:tcW w:w="2353" w:type="dxa"/>
            <w:tcBorders>
              <w:top w:val="nil"/>
              <w:left w:val="nil"/>
              <w:bottom w:val="nil"/>
              <w:right w:val="single" w:sz="8" w:space="0" w:color="auto"/>
            </w:tcBorders>
            <w:shd w:val="clear" w:color="000000" w:fill="FFFFFF"/>
            <w:vAlign w:val="center"/>
            <w:hideMark/>
          </w:tcPr>
          <w:p w14:paraId="4DA7FF19"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141,548,597</w:t>
            </w:r>
          </w:p>
        </w:tc>
        <w:tc>
          <w:tcPr>
            <w:tcW w:w="1964" w:type="dxa"/>
            <w:tcBorders>
              <w:top w:val="nil"/>
              <w:left w:val="nil"/>
              <w:bottom w:val="nil"/>
              <w:right w:val="single" w:sz="8" w:space="0" w:color="auto"/>
            </w:tcBorders>
            <w:shd w:val="clear" w:color="000000" w:fill="FFFFFF"/>
            <w:vAlign w:val="center"/>
            <w:hideMark/>
          </w:tcPr>
          <w:p w14:paraId="40F23F25"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144,574,522</w:t>
            </w:r>
          </w:p>
        </w:tc>
      </w:tr>
      <w:tr w:rsidR="005B740F" w:rsidRPr="00853666" w14:paraId="313406EE" w14:textId="77777777" w:rsidTr="00FD3EAB">
        <w:trPr>
          <w:trHeight w:val="311"/>
        </w:trPr>
        <w:tc>
          <w:tcPr>
            <w:tcW w:w="4707" w:type="dxa"/>
            <w:tcBorders>
              <w:top w:val="nil"/>
              <w:left w:val="single" w:sz="8" w:space="0" w:color="auto"/>
              <w:bottom w:val="nil"/>
              <w:right w:val="single" w:sz="8" w:space="0" w:color="auto"/>
            </w:tcBorders>
            <w:shd w:val="clear" w:color="000000" w:fill="FFFFFF"/>
            <w:noWrap/>
            <w:vAlign w:val="center"/>
            <w:hideMark/>
          </w:tcPr>
          <w:p w14:paraId="012A9E79"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Patentes, Marcas Y Derechos</w:t>
            </w:r>
          </w:p>
        </w:tc>
        <w:tc>
          <w:tcPr>
            <w:tcW w:w="2353" w:type="dxa"/>
            <w:tcBorders>
              <w:top w:val="nil"/>
              <w:left w:val="nil"/>
              <w:bottom w:val="nil"/>
              <w:right w:val="single" w:sz="8" w:space="0" w:color="auto"/>
            </w:tcBorders>
            <w:shd w:val="clear" w:color="000000" w:fill="FFFFFF"/>
            <w:vAlign w:val="center"/>
            <w:hideMark/>
          </w:tcPr>
          <w:p w14:paraId="5B0E3FED"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1,405,158</w:t>
            </w:r>
          </w:p>
        </w:tc>
        <w:tc>
          <w:tcPr>
            <w:tcW w:w="1964" w:type="dxa"/>
            <w:tcBorders>
              <w:top w:val="nil"/>
              <w:left w:val="nil"/>
              <w:bottom w:val="nil"/>
              <w:right w:val="single" w:sz="8" w:space="0" w:color="auto"/>
            </w:tcBorders>
            <w:shd w:val="clear" w:color="000000" w:fill="FFFFFF"/>
            <w:vAlign w:val="center"/>
            <w:hideMark/>
          </w:tcPr>
          <w:p w14:paraId="4CB75B3D"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245,158</w:t>
            </w:r>
          </w:p>
        </w:tc>
      </w:tr>
      <w:tr w:rsidR="005B740F" w:rsidRPr="00853666" w14:paraId="4429C6CF" w14:textId="77777777" w:rsidTr="00FD3EAB">
        <w:trPr>
          <w:trHeight w:val="326"/>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33FAB526"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Licencias</w:t>
            </w:r>
          </w:p>
        </w:tc>
        <w:tc>
          <w:tcPr>
            <w:tcW w:w="2353" w:type="dxa"/>
            <w:tcBorders>
              <w:top w:val="nil"/>
              <w:left w:val="nil"/>
              <w:bottom w:val="single" w:sz="8" w:space="0" w:color="auto"/>
              <w:right w:val="single" w:sz="8" w:space="0" w:color="auto"/>
            </w:tcBorders>
            <w:shd w:val="clear" w:color="000000" w:fill="FFFFFF"/>
            <w:vAlign w:val="center"/>
            <w:hideMark/>
          </w:tcPr>
          <w:p w14:paraId="340440BB"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17,827,409</w:t>
            </w:r>
          </w:p>
        </w:tc>
        <w:tc>
          <w:tcPr>
            <w:tcW w:w="1964" w:type="dxa"/>
            <w:tcBorders>
              <w:top w:val="nil"/>
              <w:left w:val="nil"/>
              <w:bottom w:val="single" w:sz="8" w:space="0" w:color="auto"/>
              <w:right w:val="single" w:sz="8" w:space="0" w:color="auto"/>
            </w:tcBorders>
            <w:shd w:val="clear" w:color="000000" w:fill="FFFFFF"/>
            <w:vAlign w:val="center"/>
            <w:hideMark/>
          </w:tcPr>
          <w:p w14:paraId="22341C2E"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16,821,665</w:t>
            </w:r>
          </w:p>
        </w:tc>
      </w:tr>
      <w:tr w:rsidR="005B740F" w:rsidRPr="00853666" w14:paraId="1A5A3BCE" w14:textId="77777777" w:rsidTr="00FD3EAB">
        <w:trPr>
          <w:trHeight w:val="342"/>
        </w:trPr>
        <w:tc>
          <w:tcPr>
            <w:tcW w:w="4707" w:type="dxa"/>
            <w:tcBorders>
              <w:top w:val="nil"/>
              <w:left w:val="single" w:sz="8" w:space="0" w:color="auto"/>
              <w:bottom w:val="single" w:sz="8" w:space="0" w:color="auto"/>
              <w:right w:val="single" w:sz="8" w:space="0" w:color="auto"/>
            </w:tcBorders>
            <w:shd w:val="clear" w:color="000000" w:fill="FFFFFF"/>
            <w:noWrap/>
            <w:vAlign w:val="center"/>
            <w:hideMark/>
          </w:tcPr>
          <w:p w14:paraId="11BCD296"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53" w:type="dxa"/>
            <w:tcBorders>
              <w:top w:val="nil"/>
              <w:left w:val="nil"/>
              <w:bottom w:val="single" w:sz="8" w:space="0" w:color="auto"/>
              <w:right w:val="single" w:sz="8" w:space="0" w:color="auto"/>
            </w:tcBorders>
            <w:shd w:val="clear" w:color="000000" w:fill="FFFFFF"/>
            <w:noWrap/>
            <w:vAlign w:val="center"/>
            <w:hideMark/>
          </w:tcPr>
          <w:p w14:paraId="13E780BD"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160,781,164</w:t>
            </w:r>
          </w:p>
        </w:tc>
        <w:tc>
          <w:tcPr>
            <w:tcW w:w="1964" w:type="dxa"/>
            <w:tcBorders>
              <w:top w:val="nil"/>
              <w:left w:val="nil"/>
              <w:bottom w:val="single" w:sz="8" w:space="0" w:color="auto"/>
              <w:right w:val="single" w:sz="8" w:space="0" w:color="auto"/>
            </w:tcBorders>
            <w:shd w:val="clear" w:color="000000" w:fill="FFFFFF"/>
            <w:noWrap/>
            <w:vAlign w:val="center"/>
            <w:hideMark/>
          </w:tcPr>
          <w:p w14:paraId="334287A3"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161,641,345</w:t>
            </w:r>
          </w:p>
        </w:tc>
      </w:tr>
    </w:tbl>
    <w:p w14:paraId="12B4FB2C" w14:textId="77777777" w:rsidR="009C05EA" w:rsidRPr="00853666" w:rsidRDefault="009C05EA">
      <w:pPr>
        <w:pBdr>
          <w:top w:val="nil"/>
          <w:left w:val="nil"/>
          <w:bottom w:val="nil"/>
          <w:right w:val="nil"/>
          <w:between w:val="nil"/>
        </w:pBdr>
        <w:jc w:val="both"/>
        <w:rPr>
          <w:rFonts w:ascii="Monsserrat" w:hAnsi="Monsserrat"/>
          <w:b/>
          <w:sz w:val="26"/>
          <w:szCs w:val="26"/>
        </w:rPr>
      </w:pPr>
    </w:p>
    <w:p w14:paraId="600CB9A6" w14:textId="77777777" w:rsidR="009C05EA" w:rsidRPr="00853666" w:rsidRDefault="00B66A10">
      <w:pPr>
        <w:rPr>
          <w:rFonts w:ascii="Monsserrat" w:hAnsi="Monsserrat"/>
          <w:b/>
          <w:sz w:val="26"/>
          <w:szCs w:val="26"/>
        </w:rPr>
      </w:pPr>
      <w:r w:rsidRPr="00853666">
        <w:rPr>
          <w:rFonts w:ascii="Monsserrat" w:hAnsi="Monsserrat"/>
          <w:b/>
          <w:sz w:val="26"/>
          <w:szCs w:val="26"/>
        </w:rPr>
        <w:t>Pasivo.</w:t>
      </w:r>
    </w:p>
    <w:p w14:paraId="633B1189" w14:textId="77777777" w:rsidR="009C05EA" w:rsidRPr="00853666" w:rsidRDefault="009C05EA">
      <w:pPr>
        <w:pBdr>
          <w:top w:val="nil"/>
          <w:left w:val="nil"/>
          <w:bottom w:val="nil"/>
          <w:right w:val="nil"/>
          <w:between w:val="nil"/>
        </w:pBdr>
        <w:jc w:val="both"/>
        <w:rPr>
          <w:rFonts w:ascii="Monsserrat" w:hAnsi="Monsserrat"/>
          <w:sz w:val="26"/>
          <w:szCs w:val="26"/>
        </w:rPr>
      </w:pPr>
    </w:p>
    <w:p w14:paraId="6C1C94C0" w14:textId="77777777" w:rsidR="009C05EA" w:rsidRPr="00853666" w:rsidRDefault="00B66A10">
      <w:pPr>
        <w:jc w:val="both"/>
        <w:rPr>
          <w:rFonts w:ascii="Monsserrat" w:hAnsi="Monsserrat"/>
          <w:sz w:val="26"/>
          <w:szCs w:val="26"/>
        </w:rPr>
      </w:pPr>
      <w:r w:rsidRPr="00853666">
        <w:rPr>
          <w:rFonts w:ascii="Monsserrat" w:hAnsi="Monsserrat"/>
          <w:sz w:val="26"/>
          <w:szCs w:val="26"/>
        </w:rPr>
        <w:t>Es el conjunto de cuentas que permite el registro de las obligaciones contraídas por el Poder Ejecutivo, para el desarrollo de sus funciones y la prestación de los servicios públicos. Al cierre del periodo enero-junio de 2022,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1F837DBE" w14:textId="77777777" w:rsidR="009C05EA" w:rsidRPr="00853666" w:rsidRDefault="009C05EA">
      <w:pPr>
        <w:pBdr>
          <w:top w:val="nil"/>
          <w:left w:val="nil"/>
          <w:bottom w:val="nil"/>
          <w:right w:val="nil"/>
          <w:between w:val="nil"/>
        </w:pBdr>
        <w:jc w:val="both"/>
        <w:rPr>
          <w:rFonts w:ascii="Monsserrat" w:hAnsi="Monsserrat"/>
          <w:sz w:val="26"/>
          <w:szCs w:val="26"/>
        </w:rPr>
      </w:pPr>
    </w:p>
    <w:p w14:paraId="127B9C65" w14:textId="77777777" w:rsidR="009C05EA" w:rsidRPr="00853666" w:rsidRDefault="00B66A10">
      <w:pPr>
        <w:pBdr>
          <w:top w:val="nil"/>
          <w:left w:val="nil"/>
          <w:bottom w:val="nil"/>
          <w:right w:val="nil"/>
          <w:between w:val="nil"/>
        </w:pBdr>
        <w:jc w:val="both"/>
        <w:rPr>
          <w:rFonts w:ascii="Monsserrat" w:hAnsi="Monsserrat"/>
          <w:b/>
          <w:sz w:val="26"/>
          <w:szCs w:val="26"/>
          <w:u w:val="single"/>
        </w:rPr>
      </w:pPr>
      <w:r w:rsidRPr="00853666">
        <w:rPr>
          <w:rFonts w:ascii="Monsserrat" w:hAnsi="Monsserrat"/>
          <w:b/>
          <w:sz w:val="26"/>
          <w:szCs w:val="26"/>
          <w:u w:val="single"/>
        </w:rPr>
        <w:t>Circulante</w:t>
      </w:r>
    </w:p>
    <w:p w14:paraId="2B2B9547" w14:textId="77777777" w:rsidR="009C05EA" w:rsidRPr="00853666" w:rsidRDefault="009C05EA">
      <w:pPr>
        <w:jc w:val="both"/>
        <w:rPr>
          <w:rFonts w:ascii="Monsserrat" w:hAnsi="Monsserrat"/>
          <w:b/>
          <w:sz w:val="26"/>
          <w:szCs w:val="26"/>
        </w:rPr>
      </w:pPr>
    </w:p>
    <w:p w14:paraId="274FF9C2" w14:textId="77777777" w:rsidR="009C05EA" w:rsidRPr="00853666" w:rsidRDefault="00B66A10">
      <w:pPr>
        <w:jc w:val="both"/>
        <w:rPr>
          <w:rFonts w:ascii="Monsserrat" w:hAnsi="Monsserrat"/>
          <w:b/>
          <w:sz w:val="26"/>
          <w:szCs w:val="26"/>
        </w:rPr>
      </w:pPr>
      <w:r w:rsidRPr="00853666">
        <w:rPr>
          <w:rFonts w:ascii="Monsserrat" w:hAnsi="Monsserrat"/>
          <w:b/>
          <w:sz w:val="26"/>
          <w:szCs w:val="26"/>
        </w:rPr>
        <w:t>Nota 8.-Cuentas por Pagar a Corto Plazo.</w:t>
      </w:r>
    </w:p>
    <w:p w14:paraId="422D4225" w14:textId="77777777" w:rsidR="009C05EA" w:rsidRPr="00853666" w:rsidRDefault="009C05EA">
      <w:pPr>
        <w:jc w:val="both"/>
        <w:rPr>
          <w:rFonts w:ascii="Monsserrat" w:hAnsi="Monsserrat"/>
          <w:b/>
          <w:sz w:val="26"/>
          <w:szCs w:val="26"/>
        </w:rPr>
      </w:pPr>
    </w:p>
    <w:p w14:paraId="5D4F67E5"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 xml:space="preserve">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w:t>
      </w:r>
      <w:proofErr w:type="spellStart"/>
      <w:r w:rsidRPr="00853666">
        <w:rPr>
          <w:rFonts w:ascii="Monsserrat" w:hAnsi="Monsserrat"/>
          <w:sz w:val="26"/>
          <w:szCs w:val="26"/>
        </w:rPr>
        <w:t>ISSS</w:t>
      </w:r>
      <w:proofErr w:type="spellEnd"/>
      <w:r w:rsidRPr="00853666">
        <w:rPr>
          <w:rFonts w:ascii="Monsserrat" w:hAnsi="Monsserrat"/>
          <w:sz w:val="26"/>
          <w:szCs w:val="26"/>
        </w:rPr>
        <w:t>, ISR por arrendamiento de inmuebles y otros conceptos.</w:t>
      </w:r>
    </w:p>
    <w:p w14:paraId="3AD815D5" w14:textId="77777777" w:rsidR="00FD3EAB" w:rsidRPr="00853666" w:rsidRDefault="00B66A10" w:rsidP="00FD3EAB">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lastRenderedPageBreak/>
        <w:t>Los saldos de las cuentas que integran este rubro al cierre del periodo enero-junio de 2022 y 2021, se desglosan de la siguiente manera:</w:t>
      </w:r>
    </w:p>
    <w:p w14:paraId="04B7CFEB" w14:textId="77777777" w:rsidR="00FD3EAB" w:rsidRPr="00853666" w:rsidRDefault="00FD3EAB" w:rsidP="00FD3EAB">
      <w:pPr>
        <w:pBdr>
          <w:top w:val="nil"/>
          <w:left w:val="nil"/>
          <w:bottom w:val="nil"/>
          <w:right w:val="nil"/>
          <w:between w:val="nil"/>
        </w:pBdr>
        <w:jc w:val="both"/>
        <w:rPr>
          <w:rFonts w:ascii="Monsserrat" w:hAnsi="Monsserrat"/>
          <w:sz w:val="26"/>
          <w:szCs w:val="26"/>
        </w:rPr>
      </w:pPr>
    </w:p>
    <w:p w14:paraId="1AB018E7" w14:textId="77777777" w:rsidR="009C05EA" w:rsidRPr="00853666" w:rsidRDefault="00B66A10" w:rsidP="00FD3EAB">
      <w:pPr>
        <w:pBdr>
          <w:top w:val="nil"/>
          <w:left w:val="nil"/>
          <w:bottom w:val="nil"/>
          <w:right w:val="nil"/>
          <w:between w:val="nil"/>
        </w:pBdr>
        <w:jc w:val="center"/>
        <w:rPr>
          <w:rFonts w:ascii="Monsserrat" w:hAnsi="Monsserrat"/>
          <w:sz w:val="26"/>
          <w:szCs w:val="26"/>
        </w:rPr>
      </w:pPr>
      <w:r w:rsidRPr="00853666">
        <w:rPr>
          <w:rFonts w:ascii="Monsserrat" w:hAnsi="Monsserrat"/>
          <w:b/>
          <w:sz w:val="26"/>
          <w:szCs w:val="26"/>
        </w:rPr>
        <w:t>(Pesos)</w:t>
      </w:r>
    </w:p>
    <w:tbl>
      <w:tblPr>
        <w:tblW w:w="9146" w:type="dxa"/>
        <w:tblInd w:w="55" w:type="dxa"/>
        <w:tblCellMar>
          <w:left w:w="70" w:type="dxa"/>
          <w:right w:w="70" w:type="dxa"/>
        </w:tblCellMar>
        <w:tblLook w:val="04A0" w:firstRow="1" w:lastRow="0" w:firstColumn="1" w:lastColumn="0" w:noHBand="0" w:noVBand="1"/>
      </w:tblPr>
      <w:tblGrid>
        <w:gridCol w:w="4770"/>
        <w:gridCol w:w="2385"/>
        <w:gridCol w:w="1991"/>
      </w:tblGrid>
      <w:tr w:rsidR="00160031" w:rsidRPr="00853666" w14:paraId="104A5561" w14:textId="77777777" w:rsidTr="001B07C1">
        <w:trPr>
          <w:trHeight w:val="316"/>
        </w:trPr>
        <w:tc>
          <w:tcPr>
            <w:tcW w:w="477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70B82809"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85" w:type="dxa"/>
            <w:tcBorders>
              <w:top w:val="single" w:sz="8" w:space="0" w:color="auto"/>
              <w:left w:val="nil"/>
              <w:bottom w:val="single" w:sz="8" w:space="0" w:color="auto"/>
              <w:right w:val="single" w:sz="8" w:space="0" w:color="auto"/>
            </w:tcBorders>
            <w:shd w:val="clear" w:color="000000" w:fill="828282"/>
            <w:vAlign w:val="center"/>
            <w:hideMark/>
          </w:tcPr>
          <w:p w14:paraId="63E4E478"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91" w:type="dxa"/>
            <w:tcBorders>
              <w:top w:val="single" w:sz="8" w:space="0" w:color="auto"/>
              <w:left w:val="nil"/>
              <w:bottom w:val="single" w:sz="8" w:space="0" w:color="auto"/>
              <w:right w:val="single" w:sz="8" w:space="0" w:color="auto"/>
            </w:tcBorders>
            <w:shd w:val="clear" w:color="000000" w:fill="828282"/>
            <w:vAlign w:val="center"/>
            <w:hideMark/>
          </w:tcPr>
          <w:p w14:paraId="5F1DAB87" w14:textId="77777777" w:rsidR="00160031" w:rsidRPr="00853666" w:rsidRDefault="00160031" w:rsidP="00160031">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160031" w:rsidRPr="00853666" w14:paraId="77E0A625" w14:textId="77777777" w:rsidTr="001B07C1">
        <w:trPr>
          <w:trHeight w:val="602"/>
        </w:trPr>
        <w:tc>
          <w:tcPr>
            <w:tcW w:w="4770" w:type="dxa"/>
            <w:tcBorders>
              <w:top w:val="nil"/>
              <w:left w:val="single" w:sz="8" w:space="0" w:color="auto"/>
              <w:bottom w:val="nil"/>
              <w:right w:val="single" w:sz="8" w:space="0" w:color="auto"/>
            </w:tcBorders>
            <w:shd w:val="clear" w:color="000000" w:fill="FFFFFF"/>
            <w:noWrap/>
            <w:vAlign w:val="center"/>
            <w:hideMark/>
          </w:tcPr>
          <w:p w14:paraId="0EBA1CF8"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Servicios Personales Por Pagar a Corto Plazo</w:t>
            </w:r>
          </w:p>
        </w:tc>
        <w:tc>
          <w:tcPr>
            <w:tcW w:w="2385" w:type="dxa"/>
            <w:tcBorders>
              <w:top w:val="nil"/>
              <w:left w:val="nil"/>
              <w:bottom w:val="nil"/>
              <w:right w:val="single" w:sz="8" w:space="0" w:color="auto"/>
            </w:tcBorders>
            <w:shd w:val="clear" w:color="000000" w:fill="FFFFFF"/>
            <w:noWrap/>
            <w:vAlign w:val="center"/>
            <w:hideMark/>
          </w:tcPr>
          <w:p w14:paraId="14F60873"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203,437,933</w:t>
            </w:r>
          </w:p>
        </w:tc>
        <w:tc>
          <w:tcPr>
            <w:tcW w:w="1991" w:type="dxa"/>
            <w:tcBorders>
              <w:top w:val="nil"/>
              <w:left w:val="nil"/>
              <w:bottom w:val="nil"/>
              <w:right w:val="single" w:sz="8" w:space="0" w:color="auto"/>
            </w:tcBorders>
            <w:shd w:val="clear" w:color="000000" w:fill="FFFFFF"/>
            <w:noWrap/>
            <w:vAlign w:val="center"/>
            <w:hideMark/>
          </w:tcPr>
          <w:p w14:paraId="3DAED9A7"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246,938,103</w:t>
            </w:r>
          </w:p>
        </w:tc>
      </w:tr>
      <w:tr w:rsidR="00160031" w:rsidRPr="00853666" w14:paraId="2889CD74" w14:textId="77777777" w:rsidTr="001B07C1">
        <w:trPr>
          <w:trHeight w:val="301"/>
        </w:trPr>
        <w:tc>
          <w:tcPr>
            <w:tcW w:w="4770" w:type="dxa"/>
            <w:tcBorders>
              <w:top w:val="nil"/>
              <w:left w:val="single" w:sz="8" w:space="0" w:color="auto"/>
              <w:bottom w:val="nil"/>
              <w:right w:val="single" w:sz="8" w:space="0" w:color="auto"/>
            </w:tcBorders>
            <w:shd w:val="clear" w:color="000000" w:fill="FFFFFF"/>
            <w:noWrap/>
            <w:vAlign w:val="center"/>
            <w:hideMark/>
          </w:tcPr>
          <w:p w14:paraId="0052C86A"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Proveedores Por Pagar a Corto Plazo</w:t>
            </w:r>
          </w:p>
        </w:tc>
        <w:tc>
          <w:tcPr>
            <w:tcW w:w="2385" w:type="dxa"/>
            <w:tcBorders>
              <w:top w:val="nil"/>
              <w:left w:val="nil"/>
              <w:bottom w:val="nil"/>
              <w:right w:val="single" w:sz="8" w:space="0" w:color="auto"/>
            </w:tcBorders>
            <w:shd w:val="clear" w:color="000000" w:fill="FFFFFF"/>
            <w:noWrap/>
            <w:vAlign w:val="center"/>
            <w:hideMark/>
          </w:tcPr>
          <w:p w14:paraId="02DF3E70"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685,609,983</w:t>
            </w:r>
          </w:p>
        </w:tc>
        <w:tc>
          <w:tcPr>
            <w:tcW w:w="1991" w:type="dxa"/>
            <w:tcBorders>
              <w:top w:val="nil"/>
              <w:left w:val="nil"/>
              <w:bottom w:val="nil"/>
              <w:right w:val="single" w:sz="8" w:space="0" w:color="auto"/>
            </w:tcBorders>
            <w:shd w:val="clear" w:color="000000" w:fill="FFFFFF"/>
            <w:noWrap/>
            <w:vAlign w:val="center"/>
            <w:hideMark/>
          </w:tcPr>
          <w:p w14:paraId="496AFD72"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773,546,692</w:t>
            </w:r>
          </w:p>
        </w:tc>
      </w:tr>
      <w:tr w:rsidR="00160031" w:rsidRPr="00853666" w14:paraId="6E71F674" w14:textId="77777777" w:rsidTr="001B07C1">
        <w:trPr>
          <w:trHeight w:val="602"/>
        </w:trPr>
        <w:tc>
          <w:tcPr>
            <w:tcW w:w="4770" w:type="dxa"/>
            <w:tcBorders>
              <w:top w:val="nil"/>
              <w:left w:val="single" w:sz="8" w:space="0" w:color="auto"/>
              <w:bottom w:val="nil"/>
              <w:right w:val="single" w:sz="8" w:space="0" w:color="auto"/>
            </w:tcBorders>
            <w:shd w:val="clear" w:color="000000" w:fill="FFFFFF"/>
            <w:vAlign w:val="center"/>
            <w:hideMark/>
          </w:tcPr>
          <w:p w14:paraId="499BA6E5"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Contratistas Por Obras Públicas Por Pagar a Corto Plazo</w:t>
            </w:r>
          </w:p>
        </w:tc>
        <w:tc>
          <w:tcPr>
            <w:tcW w:w="2385" w:type="dxa"/>
            <w:tcBorders>
              <w:top w:val="nil"/>
              <w:left w:val="nil"/>
              <w:bottom w:val="nil"/>
              <w:right w:val="single" w:sz="8" w:space="0" w:color="auto"/>
            </w:tcBorders>
            <w:shd w:val="clear" w:color="000000" w:fill="FFFFFF"/>
            <w:vAlign w:val="center"/>
            <w:hideMark/>
          </w:tcPr>
          <w:p w14:paraId="735E6B2A"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380,430,482</w:t>
            </w:r>
          </w:p>
        </w:tc>
        <w:tc>
          <w:tcPr>
            <w:tcW w:w="1991" w:type="dxa"/>
            <w:tcBorders>
              <w:top w:val="nil"/>
              <w:left w:val="nil"/>
              <w:bottom w:val="nil"/>
              <w:right w:val="single" w:sz="8" w:space="0" w:color="auto"/>
            </w:tcBorders>
            <w:shd w:val="clear" w:color="000000" w:fill="FFFFFF"/>
            <w:vAlign w:val="center"/>
            <w:hideMark/>
          </w:tcPr>
          <w:p w14:paraId="08423182"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574,072,633</w:t>
            </w:r>
          </w:p>
        </w:tc>
      </w:tr>
      <w:tr w:rsidR="00160031" w:rsidRPr="00853666" w14:paraId="082D54D3" w14:textId="77777777" w:rsidTr="001B07C1">
        <w:trPr>
          <w:trHeight w:val="602"/>
        </w:trPr>
        <w:tc>
          <w:tcPr>
            <w:tcW w:w="4770" w:type="dxa"/>
            <w:tcBorders>
              <w:top w:val="nil"/>
              <w:left w:val="single" w:sz="8" w:space="0" w:color="auto"/>
              <w:bottom w:val="nil"/>
              <w:right w:val="single" w:sz="8" w:space="0" w:color="auto"/>
            </w:tcBorders>
            <w:shd w:val="clear" w:color="000000" w:fill="FFFFFF"/>
            <w:vAlign w:val="center"/>
            <w:hideMark/>
          </w:tcPr>
          <w:p w14:paraId="2508C31E"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Transferencias Otorgadas Por Pagar a Corto Plazo</w:t>
            </w:r>
          </w:p>
        </w:tc>
        <w:tc>
          <w:tcPr>
            <w:tcW w:w="2385" w:type="dxa"/>
            <w:tcBorders>
              <w:top w:val="nil"/>
              <w:left w:val="nil"/>
              <w:bottom w:val="nil"/>
              <w:right w:val="single" w:sz="8" w:space="0" w:color="auto"/>
            </w:tcBorders>
            <w:shd w:val="clear" w:color="000000" w:fill="FFFFFF"/>
            <w:noWrap/>
            <w:vAlign w:val="center"/>
            <w:hideMark/>
          </w:tcPr>
          <w:p w14:paraId="5C321CDB"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225,069,029</w:t>
            </w:r>
          </w:p>
        </w:tc>
        <w:tc>
          <w:tcPr>
            <w:tcW w:w="1991" w:type="dxa"/>
            <w:tcBorders>
              <w:top w:val="nil"/>
              <w:left w:val="nil"/>
              <w:bottom w:val="nil"/>
              <w:right w:val="single" w:sz="8" w:space="0" w:color="auto"/>
            </w:tcBorders>
            <w:shd w:val="clear" w:color="000000" w:fill="FFFFFF"/>
            <w:noWrap/>
            <w:vAlign w:val="center"/>
            <w:hideMark/>
          </w:tcPr>
          <w:p w14:paraId="0989D7ED"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222,227,854</w:t>
            </w:r>
          </w:p>
        </w:tc>
      </w:tr>
      <w:tr w:rsidR="00160031" w:rsidRPr="00853666" w14:paraId="34471AC8" w14:textId="77777777" w:rsidTr="001B07C1">
        <w:trPr>
          <w:trHeight w:val="602"/>
        </w:trPr>
        <w:tc>
          <w:tcPr>
            <w:tcW w:w="4770" w:type="dxa"/>
            <w:tcBorders>
              <w:top w:val="nil"/>
              <w:left w:val="single" w:sz="8" w:space="0" w:color="auto"/>
              <w:bottom w:val="nil"/>
              <w:right w:val="single" w:sz="8" w:space="0" w:color="auto"/>
            </w:tcBorders>
            <w:shd w:val="clear" w:color="000000" w:fill="FFFFFF"/>
            <w:vAlign w:val="center"/>
            <w:hideMark/>
          </w:tcPr>
          <w:p w14:paraId="4E1BDF32"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Retenciones y Contribuciones Por Pagar a Corto Plazo</w:t>
            </w:r>
          </w:p>
        </w:tc>
        <w:tc>
          <w:tcPr>
            <w:tcW w:w="2385" w:type="dxa"/>
            <w:tcBorders>
              <w:top w:val="nil"/>
              <w:left w:val="nil"/>
              <w:bottom w:val="nil"/>
              <w:right w:val="single" w:sz="8" w:space="0" w:color="auto"/>
            </w:tcBorders>
            <w:shd w:val="clear" w:color="000000" w:fill="FFFFFF"/>
            <w:noWrap/>
            <w:vAlign w:val="center"/>
            <w:hideMark/>
          </w:tcPr>
          <w:p w14:paraId="1E4E5204"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928,940,386</w:t>
            </w:r>
          </w:p>
        </w:tc>
        <w:tc>
          <w:tcPr>
            <w:tcW w:w="1991" w:type="dxa"/>
            <w:tcBorders>
              <w:top w:val="nil"/>
              <w:left w:val="nil"/>
              <w:bottom w:val="nil"/>
              <w:right w:val="single" w:sz="8" w:space="0" w:color="auto"/>
            </w:tcBorders>
            <w:shd w:val="clear" w:color="000000" w:fill="FFFFFF"/>
            <w:noWrap/>
            <w:vAlign w:val="center"/>
            <w:hideMark/>
          </w:tcPr>
          <w:p w14:paraId="3DAD168E"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1,248,531,822</w:t>
            </w:r>
          </w:p>
        </w:tc>
      </w:tr>
      <w:tr w:rsidR="00160031" w:rsidRPr="00853666" w14:paraId="2D35A8CF" w14:textId="77777777" w:rsidTr="001B07C1">
        <w:trPr>
          <w:trHeight w:val="602"/>
        </w:trPr>
        <w:tc>
          <w:tcPr>
            <w:tcW w:w="4770" w:type="dxa"/>
            <w:tcBorders>
              <w:top w:val="nil"/>
              <w:left w:val="single" w:sz="8" w:space="0" w:color="auto"/>
              <w:bottom w:val="single" w:sz="8" w:space="0" w:color="auto"/>
              <w:right w:val="single" w:sz="8" w:space="0" w:color="auto"/>
            </w:tcBorders>
            <w:shd w:val="clear" w:color="000000" w:fill="FFFFFF"/>
            <w:vAlign w:val="center"/>
            <w:hideMark/>
          </w:tcPr>
          <w:p w14:paraId="26DB324A"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Otras Cuentas Por Pagar a Corto Plazo</w:t>
            </w:r>
          </w:p>
        </w:tc>
        <w:tc>
          <w:tcPr>
            <w:tcW w:w="2385" w:type="dxa"/>
            <w:tcBorders>
              <w:top w:val="nil"/>
              <w:left w:val="nil"/>
              <w:bottom w:val="single" w:sz="8" w:space="0" w:color="auto"/>
              <w:right w:val="single" w:sz="8" w:space="0" w:color="auto"/>
            </w:tcBorders>
            <w:shd w:val="clear" w:color="000000" w:fill="FFFFFF"/>
            <w:noWrap/>
            <w:vAlign w:val="center"/>
            <w:hideMark/>
          </w:tcPr>
          <w:p w14:paraId="42250D3C"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3,106,687,533</w:t>
            </w:r>
          </w:p>
        </w:tc>
        <w:tc>
          <w:tcPr>
            <w:tcW w:w="1991" w:type="dxa"/>
            <w:tcBorders>
              <w:top w:val="nil"/>
              <w:left w:val="nil"/>
              <w:bottom w:val="single" w:sz="8" w:space="0" w:color="auto"/>
              <w:right w:val="single" w:sz="8" w:space="0" w:color="auto"/>
            </w:tcBorders>
            <w:shd w:val="clear" w:color="000000" w:fill="FFFFFF"/>
            <w:noWrap/>
            <w:vAlign w:val="center"/>
            <w:hideMark/>
          </w:tcPr>
          <w:p w14:paraId="22799429"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4,035,936,096</w:t>
            </w:r>
          </w:p>
        </w:tc>
      </w:tr>
      <w:tr w:rsidR="00160031" w:rsidRPr="00853666" w14:paraId="0AB1B875" w14:textId="77777777" w:rsidTr="001B07C1">
        <w:trPr>
          <w:trHeight w:val="602"/>
        </w:trPr>
        <w:tc>
          <w:tcPr>
            <w:tcW w:w="4770" w:type="dxa"/>
            <w:tcBorders>
              <w:top w:val="nil"/>
              <w:left w:val="single" w:sz="8" w:space="0" w:color="auto"/>
              <w:bottom w:val="single" w:sz="8" w:space="0" w:color="auto"/>
              <w:right w:val="single" w:sz="8" w:space="0" w:color="auto"/>
            </w:tcBorders>
            <w:shd w:val="clear" w:color="000000" w:fill="FFFFFF"/>
            <w:vAlign w:val="center"/>
            <w:hideMark/>
          </w:tcPr>
          <w:p w14:paraId="7E99E4B6" w14:textId="77777777" w:rsidR="00160031" w:rsidRPr="00853666" w:rsidRDefault="00160031" w:rsidP="00160031">
            <w:pPr>
              <w:jc w:val="both"/>
              <w:rPr>
                <w:rFonts w:ascii="Monsserrat" w:eastAsia="Times New Roman" w:hAnsi="Monsserrat" w:cs="Calibri"/>
                <w:color w:val="000000"/>
                <w:sz w:val="26"/>
                <w:szCs w:val="26"/>
                <w:lang w:val="es-MX"/>
              </w:rPr>
            </w:pPr>
            <w:r w:rsidRPr="00853666">
              <w:rPr>
                <w:rFonts w:ascii="Monsserrat" w:eastAsia="Times New Roman" w:hAnsi="Monsserrat" w:cs="Calibri"/>
                <w:b/>
                <w:bCs/>
                <w:color w:val="000000"/>
                <w:sz w:val="26"/>
                <w:szCs w:val="26"/>
                <w:lang w:val="es-MX"/>
              </w:rPr>
              <w:t>Suma</w:t>
            </w:r>
          </w:p>
        </w:tc>
        <w:tc>
          <w:tcPr>
            <w:tcW w:w="2385" w:type="dxa"/>
            <w:tcBorders>
              <w:top w:val="nil"/>
              <w:left w:val="nil"/>
              <w:bottom w:val="single" w:sz="8" w:space="0" w:color="auto"/>
              <w:right w:val="single" w:sz="8" w:space="0" w:color="auto"/>
            </w:tcBorders>
            <w:shd w:val="clear" w:color="000000" w:fill="FFFFFF"/>
            <w:noWrap/>
            <w:vAlign w:val="center"/>
            <w:hideMark/>
          </w:tcPr>
          <w:p w14:paraId="70E82050"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b/>
                <w:bCs/>
                <w:color w:val="000000"/>
                <w:sz w:val="26"/>
                <w:szCs w:val="26"/>
                <w:lang w:val="es-MX"/>
              </w:rPr>
              <w:t>5,530,175,346</w:t>
            </w:r>
          </w:p>
        </w:tc>
        <w:tc>
          <w:tcPr>
            <w:tcW w:w="1991" w:type="dxa"/>
            <w:tcBorders>
              <w:top w:val="nil"/>
              <w:left w:val="nil"/>
              <w:bottom w:val="single" w:sz="8" w:space="0" w:color="auto"/>
              <w:right w:val="single" w:sz="8" w:space="0" w:color="auto"/>
            </w:tcBorders>
            <w:shd w:val="clear" w:color="000000" w:fill="FFFFFF"/>
            <w:noWrap/>
            <w:vAlign w:val="center"/>
            <w:hideMark/>
          </w:tcPr>
          <w:p w14:paraId="142C8331" w14:textId="77777777" w:rsidR="00160031" w:rsidRPr="00853666" w:rsidRDefault="00160031" w:rsidP="00160031">
            <w:pPr>
              <w:jc w:val="right"/>
              <w:rPr>
                <w:rFonts w:ascii="Monsserrat" w:eastAsia="Times New Roman" w:hAnsi="Monsserrat" w:cs="Calibri"/>
                <w:color w:val="000000"/>
                <w:sz w:val="26"/>
                <w:szCs w:val="26"/>
                <w:lang w:val="es-MX"/>
              </w:rPr>
            </w:pPr>
            <w:r w:rsidRPr="00853666">
              <w:rPr>
                <w:rFonts w:ascii="Monsserrat" w:eastAsia="Times New Roman" w:hAnsi="Monsserrat" w:cs="Calibri"/>
                <w:b/>
                <w:bCs/>
                <w:color w:val="000000"/>
                <w:sz w:val="26"/>
                <w:szCs w:val="26"/>
                <w:lang w:val="es-MX"/>
              </w:rPr>
              <w:t>7,101,253,201</w:t>
            </w:r>
          </w:p>
        </w:tc>
      </w:tr>
    </w:tbl>
    <w:p w14:paraId="5EFE292F" w14:textId="77777777" w:rsidR="009C05EA" w:rsidRPr="00853666" w:rsidRDefault="009C05EA">
      <w:pPr>
        <w:jc w:val="both"/>
        <w:rPr>
          <w:rFonts w:ascii="Monsserrat" w:hAnsi="Monsserrat"/>
          <w:b/>
          <w:sz w:val="26"/>
          <w:szCs w:val="26"/>
        </w:rPr>
      </w:pPr>
    </w:p>
    <w:p w14:paraId="577ED141" w14:textId="77777777" w:rsidR="009C05EA" w:rsidRPr="00853666" w:rsidRDefault="009C05EA">
      <w:pPr>
        <w:jc w:val="both"/>
        <w:rPr>
          <w:rFonts w:ascii="Monsserrat" w:hAnsi="Monsserrat"/>
          <w:b/>
          <w:sz w:val="26"/>
          <w:szCs w:val="26"/>
        </w:rPr>
      </w:pPr>
    </w:p>
    <w:p w14:paraId="372E9B02" w14:textId="77777777" w:rsidR="009C05EA" w:rsidRPr="00853666" w:rsidRDefault="009C05EA">
      <w:pPr>
        <w:jc w:val="both"/>
        <w:rPr>
          <w:rFonts w:ascii="Monsserrat" w:hAnsi="Monsserrat"/>
          <w:b/>
          <w:sz w:val="26"/>
          <w:szCs w:val="26"/>
        </w:rPr>
      </w:pPr>
    </w:p>
    <w:p w14:paraId="11FD60E3" w14:textId="77777777" w:rsidR="009C05EA" w:rsidRPr="00853666" w:rsidRDefault="009C05EA">
      <w:pPr>
        <w:jc w:val="both"/>
        <w:rPr>
          <w:rFonts w:ascii="Monsserrat" w:hAnsi="Monsserrat"/>
          <w:b/>
          <w:sz w:val="26"/>
          <w:szCs w:val="26"/>
        </w:rPr>
      </w:pPr>
    </w:p>
    <w:p w14:paraId="407AB10B" w14:textId="77777777" w:rsidR="009C05EA" w:rsidRPr="00853666" w:rsidRDefault="00F709E4">
      <w:pPr>
        <w:jc w:val="both"/>
        <w:rPr>
          <w:rFonts w:ascii="Monsserrat" w:hAnsi="Monsserrat"/>
          <w:sz w:val="26"/>
          <w:szCs w:val="26"/>
        </w:rPr>
      </w:pPr>
      <w:r w:rsidRPr="00853666">
        <w:rPr>
          <w:rFonts w:ascii="Monsserrat" w:hAnsi="Monsserrat"/>
          <w:b/>
          <w:sz w:val="26"/>
          <w:szCs w:val="26"/>
        </w:rPr>
        <w:t>Nota 9</w:t>
      </w:r>
      <w:r w:rsidR="00B66A10" w:rsidRPr="00853666">
        <w:rPr>
          <w:rFonts w:ascii="Monsserrat" w:hAnsi="Monsserrat"/>
          <w:b/>
          <w:sz w:val="26"/>
          <w:szCs w:val="26"/>
        </w:rPr>
        <w:t>.- Porción a Corto Plazo de la Deuda Pública a Largo Plazo.</w:t>
      </w:r>
    </w:p>
    <w:p w14:paraId="3DE6BEE6" w14:textId="77777777" w:rsidR="009C05EA" w:rsidRPr="00853666" w:rsidRDefault="009C05EA">
      <w:pPr>
        <w:jc w:val="both"/>
        <w:rPr>
          <w:rFonts w:ascii="Monsserrat" w:hAnsi="Monsserrat"/>
          <w:sz w:val="26"/>
          <w:szCs w:val="26"/>
        </w:rPr>
      </w:pPr>
    </w:p>
    <w:p w14:paraId="58365778" w14:textId="77777777" w:rsidR="009C05EA" w:rsidRPr="00853666" w:rsidRDefault="009C05EA">
      <w:pPr>
        <w:jc w:val="both"/>
        <w:rPr>
          <w:rFonts w:ascii="Monsserrat" w:hAnsi="Monsserrat"/>
          <w:sz w:val="26"/>
          <w:szCs w:val="26"/>
        </w:rPr>
      </w:pPr>
    </w:p>
    <w:p w14:paraId="37C66F3C" w14:textId="77777777" w:rsidR="009C05EA" w:rsidRPr="00853666" w:rsidRDefault="00B66A10">
      <w:pPr>
        <w:jc w:val="both"/>
        <w:rPr>
          <w:rFonts w:ascii="Monsserrat" w:hAnsi="Monsserrat"/>
          <w:sz w:val="26"/>
          <w:szCs w:val="26"/>
        </w:rPr>
      </w:pPr>
      <w:r w:rsidRPr="00853666">
        <w:rPr>
          <w:rFonts w:ascii="Monsserrat" w:hAnsi="Monsserrat"/>
          <w:sz w:val="26"/>
          <w:szCs w:val="26"/>
        </w:rPr>
        <w:t>Al cierre del periodo enero-junio de 2022 y 2021, la provisión de porción a corto plazo de la Deuda Pública corresponde al Poder Ejecutivo, como se muestra a continuación:</w:t>
      </w:r>
    </w:p>
    <w:p w14:paraId="52A62611" w14:textId="77777777" w:rsidR="009C05EA" w:rsidRPr="00853666" w:rsidRDefault="009C05EA">
      <w:pPr>
        <w:jc w:val="both"/>
        <w:rPr>
          <w:rFonts w:ascii="Monsserrat" w:hAnsi="Monsserrat"/>
          <w:sz w:val="26"/>
          <w:szCs w:val="26"/>
        </w:rPr>
      </w:pPr>
    </w:p>
    <w:p w14:paraId="4B0F28C6" w14:textId="77777777" w:rsidR="009C05EA" w:rsidRPr="00853666" w:rsidRDefault="00B66A10">
      <w:pPr>
        <w:pBdr>
          <w:top w:val="nil"/>
          <w:left w:val="nil"/>
          <w:bottom w:val="nil"/>
          <w:right w:val="nil"/>
          <w:between w:val="nil"/>
        </w:pBdr>
        <w:jc w:val="center"/>
        <w:rPr>
          <w:rFonts w:ascii="Monsserrat" w:hAnsi="Monsserrat"/>
          <w:b/>
          <w:sz w:val="26"/>
          <w:szCs w:val="26"/>
        </w:rPr>
      </w:pPr>
      <w:r w:rsidRPr="00853666">
        <w:rPr>
          <w:rFonts w:ascii="Monsserrat" w:hAnsi="Monsserrat"/>
          <w:b/>
          <w:sz w:val="26"/>
          <w:szCs w:val="26"/>
        </w:rPr>
        <w:t>(Pesos)</w:t>
      </w:r>
    </w:p>
    <w:tbl>
      <w:tblPr>
        <w:tblW w:w="9145" w:type="dxa"/>
        <w:tblInd w:w="55" w:type="dxa"/>
        <w:tblCellMar>
          <w:left w:w="70" w:type="dxa"/>
          <w:right w:w="70" w:type="dxa"/>
        </w:tblCellMar>
        <w:tblLook w:val="04A0" w:firstRow="1" w:lastRow="0" w:firstColumn="1" w:lastColumn="0" w:noHBand="0" w:noVBand="1"/>
      </w:tblPr>
      <w:tblGrid>
        <w:gridCol w:w="4798"/>
        <w:gridCol w:w="2305"/>
        <w:gridCol w:w="2042"/>
      </w:tblGrid>
      <w:tr w:rsidR="005B740F" w:rsidRPr="00853666" w14:paraId="05ED309E" w14:textId="77777777" w:rsidTr="00853666">
        <w:trPr>
          <w:trHeight w:val="337"/>
        </w:trPr>
        <w:tc>
          <w:tcPr>
            <w:tcW w:w="4798"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F9C2287"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05" w:type="dxa"/>
            <w:tcBorders>
              <w:top w:val="single" w:sz="8" w:space="0" w:color="auto"/>
              <w:left w:val="nil"/>
              <w:bottom w:val="single" w:sz="8" w:space="0" w:color="auto"/>
              <w:right w:val="single" w:sz="8" w:space="0" w:color="auto"/>
            </w:tcBorders>
            <w:shd w:val="clear" w:color="000000" w:fill="828282"/>
            <w:vAlign w:val="center"/>
            <w:hideMark/>
          </w:tcPr>
          <w:p w14:paraId="43E54C6A"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2042" w:type="dxa"/>
            <w:tcBorders>
              <w:top w:val="single" w:sz="8" w:space="0" w:color="auto"/>
              <w:left w:val="nil"/>
              <w:bottom w:val="single" w:sz="8" w:space="0" w:color="auto"/>
              <w:right w:val="single" w:sz="8" w:space="0" w:color="auto"/>
            </w:tcBorders>
            <w:shd w:val="clear" w:color="000000" w:fill="828282"/>
            <w:vAlign w:val="center"/>
            <w:hideMark/>
          </w:tcPr>
          <w:p w14:paraId="4EB16143"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41761536" w14:textId="77777777" w:rsidTr="00853666">
        <w:trPr>
          <w:trHeight w:val="629"/>
        </w:trPr>
        <w:tc>
          <w:tcPr>
            <w:tcW w:w="4798" w:type="dxa"/>
            <w:tcBorders>
              <w:top w:val="nil"/>
              <w:left w:val="single" w:sz="8" w:space="0" w:color="auto"/>
              <w:bottom w:val="single" w:sz="8" w:space="0" w:color="auto"/>
              <w:right w:val="single" w:sz="8" w:space="0" w:color="auto"/>
            </w:tcBorders>
            <w:shd w:val="clear" w:color="000000" w:fill="FFFFFF"/>
            <w:noWrap/>
            <w:vAlign w:val="center"/>
            <w:hideMark/>
          </w:tcPr>
          <w:p w14:paraId="776ED8BD"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Porción a Corto Plazo de la Deuda Pública Interna</w:t>
            </w:r>
          </w:p>
        </w:tc>
        <w:tc>
          <w:tcPr>
            <w:tcW w:w="2305" w:type="dxa"/>
            <w:tcBorders>
              <w:top w:val="nil"/>
              <w:left w:val="nil"/>
              <w:bottom w:val="single" w:sz="8" w:space="0" w:color="auto"/>
              <w:right w:val="single" w:sz="8" w:space="0" w:color="auto"/>
            </w:tcBorders>
            <w:shd w:val="clear" w:color="000000" w:fill="FFFFFF"/>
            <w:noWrap/>
            <w:vAlign w:val="center"/>
            <w:hideMark/>
          </w:tcPr>
          <w:p w14:paraId="727DC577"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100,751,873</w:t>
            </w:r>
          </w:p>
        </w:tc>
        <w:tc>
          <w:tcPr>
            <w:tcW w:w="2042" w:type="dxa"/>
            <w:tcBorders>
              <w:top w:val="nil"/>
              <w:left w:val="nil"/>
              <w:bottom w:val="single" w:sz="8" w:space="0" w:color="auto"/>
              <w:right w:val="single" w:sz="8" w:space="0" w:color="auto"/>
            </w:tcBorders>
            <w:shd w:val="clear" w:color="000000" w:fill="FFFFFF"/>
            <w:noWrap/>
            <w:vAlign w:val="center"/>
            <w:hideMark/>
          </w:tcPr>
          <w:p w14:paraId="5E0D5B58"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90,656,020</w:t>
            </w:r>
          </w:p>
        </w:tc>
      </w:tr>
      <w:tr w:rsidR="005B740F" w:rsidRPr="00853666" w14:paraId="40F176FB" w14:textId="77777777" w:rsidTr="00853666">
        <w:trPr>
          <w:trHeight w:val="337"/>
        </w:trPr>
        <w:tc>
          <w:tcPr>
            <w:tcW w:w="4798" w:type="dxa"/>
            <w:tcBorders>
              <w:top w:val="nil"/>
              <w:left w:val="single" w:sz="8" w:space="0" w:color="auto"/>
              <w:bottom w:val="single" w:sz="8" w:space="0" w:color="auto"/>
              <w:right w:val="single" w:sz="8" w:space="0" w:color="auto"/>
            </w:tcBorders>
            <w:shd w:val="clear" w:color="000000" w:fill="FFFFFF"/>
            <w:noWrap/>
            <w:vAlign w:val="center"/>
            <w:hideMark/>
          </w:tcPr>
          <w:p w14:paraId="6A189514"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05" w:type="dxa"/>
            <w:tcBorders>
              <w:top w:val="nil"/>
              <w:left w:val="nil"/>
              <w:bottom w:val="single" w:sz="8" w:space="0" w:color="auto"/>
              <w:right w:val="single" w:sz="8" w:space="0" w:color="auto"/>
            </w:tcBorders>
            <w:shd w:val="clear" w:color="000000" w:fill="FFFFFF"/>
            <w:noWrap/>
            <w:vAlign w:val="center"/>
            <w:hideMark/>
          </w:tcPr>
          <w:p w14:paraId="4C1BFFA6"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100,751,873</w:t>
            </w:r>
          </w:p>
        </w:tc>
        <w:tc>
          <w:tcPr>
            <w:tcW w:w="2042" w:type="dxa"/>
            <w:tcBorders>
              <w:top w:val="nil"/>
              <w:left w:val="nil"/>
              <w:bottom w:val="single" w:sz="8" w:space="0" w:color="auto"/>
              <w:right w:val="single" w:sz="8" w:space="0" w:color="auto"/>
            </w:tcBorders>
            <w:shd w:val="clear" w:color="000000" w:fill="FFFFFF"/>
            <w:noWrap/>
            <w:vAlign w:val="center"/>
            <w:hideMark/>
          </w:tcPr>
          <w:p w14:paraId="692B65E8"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90,656,020</w:t>
            </w:r>
          </w:p>
        </w:tc>
      </w:tr>
    </w:tbl>
    <w:p w14:paraId="0A6E6523" w14:textId="77777777" w:rsidR="009C05EA" w:rsidRPr="00853666" w:rsidRDefault="009C05EA">
      <w:pPr>
        <w:jc w:val="both"/>
        <w:rPr>
          <w:rFonts w:ascii="Monsserrat" w:hAnsi="Monsserrat"/>
          <w:b/>
          <w:sz w:val="26"/>
          <w:szCs w:val="26"/>
        </w:rPr>
      </w:pPr>
    </w:p>
    <w:p w14:paraId="482A9D0C" w14:textId="77777777" w:rsidR="009C05EA" w:rsidRPr="00853666" w:rsidRDefault="009C05EA">
      <w:pPr>
        <w:jc w:val="both"/>
        <w:rPr>
          <w:rFonts w:ascii="Monsserrat" w:hAnsi="Monsserrat"/>
          <w:b/>
          <w:sz w:val="26"/>
          <w:szCs w:val="26"/>
        </w:rPr>
      </w:pPr>
    </w:p>
    <w:p w14:paraId="25D7AB14" w14:textId="77777777" w:rsidR="00A63762" w:rsidRPr="00853666" w:rsidRDefault="00A63762">
      <w:pPr>
        <w:jc w:val="both"/>
        <w:rPr>
          <w:rFonts w:ascii="Monsserrat" w:hAnsi="Monsserrat"/>
          <w:b/>
          <w:sz w:val="26"/>
          <w:szCs w:val="26"/>
        </w:rPr>
      </w:pPr>
    </w:p>
    <w:p w14:paraId="5DCAF050" w14:textId="77777777" w:rsidR="00A63762" w:rsidRPr="00853666" w:rsidRDefault="00A63762">
      <w:pPr>
        <w:jc w:val="both"/>
        <w:rPr>
          <w:rFonts w:ascii="Monsserrat" w:hAnsi="Monsserrat"/>
          <w:b/>
          <w:sz w:val="26"/>
          <w:szCs w:val="26"/>
        </w:rPr>
      </w:pPr>
    </w:p>
    <w:p w14:paraId="4D7202EE" w14:textId="77777777" w:rsidR="00A63762" w:rsidRPr="00853666" w:rsidRDefault="00A63762">
      <w:pPr>
        <w:jc w:val="both"/>
        <w:rPr>
          <w:rFonts w:ascii="Monsserrat" w:hAnsi="Monsserrat"/>
          <w:b/>
          <w:sz w:val="26"/>
          <w:szCs w:val="26"/>
        </w:rPr>
      </w:pPr>
    </w:p>
    <w:p w14:paraId="29E74472" w14:textId="77777777" w:rsidR="009C05EA" w:rsidRPr="00853666" w:rsidRDefault="00F709E4">
      <w:pPr>
        <w:jc w:val="both"/>
        <w:rPr>
          <w:rFonts w:ascii="Monsserrat" w:hAnsi="Monsserrat"/>
          <w:b/>
          <w:sz w:val="26"/>
          <w:szCs w:val="26"/>
        </w:rPr>
      </w:pPr>
      <w:r w:rsidRPr="00853666">
        <w:rPr>
          <w:rFonts w:ascii="Monsserrat" w:hAnsi="Monsserrat"/>
          <w:b/>
          <w:sz w:val="26"/>
          <w:szCs w:val="26"/>
        </w:rPr>
        <w:t>Nota 10</w:t>
      </w:r>
      <w:r w:rsidR="00B66A10" w:rsidRPr="00853666">
        <w:rPr>
          <w:rFonts w:ascii="Monsserrat" w:hAnsi="Monsserrat"/>
          <w:b/>
          <w:sz w:val="26"/>
          <w:szCs w:val="26"/>
        </w:rPr>
        <w:t>.- Otros Pasivos a Corto Plazo.</w:t>
      </w:r>
    </w:p>
    <w:p w14:paraId="2839970B" w14:textId="77777777" w:rsidR="009C05EA" w:rsidRPr="00853666" w:rsidRDefault="009C05EA">
      <w:pPr>
        <w:jc w:val="both"/>
        <w:rPr>
          <w:rFonts w:ascii="Monsserrat" w:hAnsi="Monsserrat"/>
          <w:sz w:val="26"/>
          <w:szCs w:val="26"/>
        </w:rPr>
      </w:pPr>
    </w:p>
    <w:p w14:paraId="44643B5E" w14:textId="77777777" w:rsidR="009C05EA" w:rsidRPr="00853666" w:rsidRDefault="009C05EA">
      <w:pPr>
        <w:jc w:val="both"/>
        <w:rPr>
          <w:rFonts w:ascii="Monsserrat" w:hAnsi="Monsserrat"/>
          <w:sz w:val="26"/>
          <w:szCs w:val="26"/>
        </w:rPr>
      </w:pPr>
    </w:p>
    <w:p w14:paraId="54464BBB" w14:textId="77777777" w:rsidR="009C05EA" w:rsidRPr="00853666" w:rsidRDefault="00B66A10">
      <w:pPr>
        <w:jc w:val="both"/>
        <w:rPr>
          <w:rFonts w:ascii="Monsserrat" w:hAnsi="Monsserrat"/>
          <w:sz w:val="26"/>
          <w:szCs w:val="26"/>
        </w:rPr>
      </w:pPr>
      <w:r w:rsidRPr="00853666">
        <w:rPr>
          <w:rFonts w:ascii="Monsserrat" w:hAnsi="Monsserrat"/>
          <w:sz w:val="26"/>
          <w:szCs w:val="26"/>
        </w:rPr>
        <w:t>El saldo dentro del Poder Ejecutivo de las cuentas que conforman este rubro del pasivo representa el monto de los adeudos del Estado con terceros institucionales, que deberá pagar en un plazo menor o igual a doce meses.</w:t>
      </w:r>
    </w:p>
    <w:p w14:paraId="27D422D2" w14:textId="77777777" w:rsidR="009C05EA" w:rsidRPr="00853666" w:rsidRDefault="009C05EA">
      <w:pPr>
        <w:jc w:val="both"/>
        <w:rPr>
          <w:rFonts w:ascii="Monsserrat" w:hAnsi="Monsserrat"/>
          <w:sz w:val="26"/>
          <w:szCs w:val="26"/>
        </w:rPr>
      </w:pPr>
    </w:p>
    <w:p w14:paraId="10489C9F" w14:textId="77777777" w:rsidR="009C05EA" w:rsidRPr="00853666" w:rsidRDefault="00353D98">
      <w:pPr>
        <w:jc w:val="both"/>
        <w:rPr>
          <w:rFonts w:ascii="Monsserrat" w:hAnsi="Monsserrat"/>
          <w:sz w:val="26"/>
          <w:szCs w:val="26"/>
        </w:rPr>
      </w:pPr>
      <w:r w:rsidRPr="00853666">
        <w:rPr>
          <w:rFonts w:ascii="Monsserrat" w:hAnsi="Monsserrat"/>
          <w:sz w:val="26"/>
          <w:szCs w:val="26"/>
        </w:rPr>
        <w:t>Se integra al 30</w:t>
      </w:r>
      <w:r w:rsidR="00B66A10" w:rsidRPr="00853666">
        <w:rPr>
          <w:rFonts w:ascii="Monsserrat" w:hAnsi="Monsserrat"/>
          <w:sz w:val="26"/>
          <w:szCs w:val="26"/>
        </w:rPr>
        <w:t xml:space="preserve"> de junio de 2022 y 2021 de la siguiente forma:</w:t>
      </w:r>
    </w:p>
    <w:p w14:paraId="4CAD3A6E" w14:textId="77777777" w:rsidR="009C05EA" w:rsidRPr="00853666" w:rsidRDefault="009C05EA">
      <w:pPr>
        <w:jc w:val="both"/>
        <w:rPr>
          <w:rFonts w:ascii="Monsserrat" w:hAnsi="Monsserrat"/>
          <w:sz w:val="26"/>
          <w:szCs w:val="26"/>
        </w:rPr>
      </w:pPr>
    </w:p>
    <w:p w14:paraId="2CA7706B" w14:textId="77777777" w:rsidR="009C05EA" w:rsidRPr="00853666" w:rsidRDefault="00B66A10">
      <w:pPr>
        <w:jc w:val="center"/>
        <w:rPr>
          <w:rFonts w:ascii="Monsserrat" w:hAnsi="Monsserrat"/>
          <w:b/>
          <w:sz w:val="26"/>
          <w:szCs w:val="26"/>
        </w:rPr>
      </w:pPr>
      <w:r w:rsidRPr="00853666">
        <w:rPr>
          <w:rFonts w:ascii="Monsserrat" w:hAnsi="Monsserrat"/>
          <w:b/>
          <w:sz w:val="26"/>
          <w:szCs w:val="26"/>
        </w:rPr>
        <w:t>(Pesos)</w:t>
      </w:r>
    </w:p>
    <w:tbl>
      <w:tblPr>
        <w:tblW w:w="9130" w:type="dxa"/>
        <w:tblInd w:w="55" w:type="dxa"/>
        <w:tblCellMar>
          <w:left w:w="70" w:type="dxa"/>
          <w:right w:w="70" w:type="dxa"/>
        </w:tblCellMar>
        <w:tblLook w:val="04A0" w:firstRow="1" w:lastRow="0" w:firstColumn="1" w:lastColumn="0" w:noHBand="0" w:noVBand="1"/>
      </w:tblPr>
      <w:tblGrid>
        <w:gridCol w:w="4762"/>
        <w:gridCol w:w="2381"/>
        <w:gridCol w:w="1987"/>
      </w:tblGrid>
      <w:tr w:rsidR="005B740F" w:rsidRPr="00853666" w14:paraId="02244793" w14:textId="77777777" w:rsidTr="001B07C1">
        <w:trPr>
          <w:trHeight w:val="324"/>
        </w:trPr>
        <w:tc>
          <w:tcPr>
            <w:tcW w:w="4762"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2E908646"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81" w:type="dxa"/>
            <w:tcBorders>
              <w:top w:val="single" w:sz="8" w:space="0" w:color="auto"/>
              <w:left w:val="nil"/>
              <w:bottom w:val="single" w:sz="8" w:space="0" w:color="auto"/>
              <w:right w:val="single" w:sz="8" w:space="0" w:color="auto"/>
            </w:tcBorders>
            <w:shd w:val="clear" w:color="000000" w:fill="828282"/>
            <w:vAlign w:val="center"/>
            <w:hideMark/>
          </w:tcPr>
          <w:p w14:paraId="797BF741"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87" w:type="dxa"/>
            <w:tcBorders>
              <w:top w:val="single" w:sz="8" w:space="0" w:color="auto"/>
              <w:left w:val="nil"/>
              <w:bottom w:val="single" w:sz="8" w:space="0" w:color="auto"/>
              <w:right w:val="single" w:sz="8" w:space="0" w:color="auto"/>
            </w:tcBorders>
            <w:shd w:val="clear" w:color="000000" w:fill="828282"/>
            <w:vAlign w:val="center"/>
            <w:hideMark/>
          </w:tcPr>
          <w:p w14:paraId="23C971ED"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27FB8EC5" w14:textId="77777777" w:rsidTr="001B07C1">
        <w:trPr>
          <w:trHeight w:val="294"/>
        </w:trPr>
        <w:tc>
          <w:tcPr>
            <w:tcW w:w="4762" w:type="dxa"/>
            <w:tcBorders>
              <w:top w:val="nil"/>
              <w:left w:val="single" w:sz="8" w:space="0" w:color="auto"/>
              <w:bottom w:val="nil"/>
              <w:right w:val="single" w:sz="8" w:space="0" w:color="auto"/>
            </w:tcBorders>
            <w:shd w:val="clear" w:color="000000" w:fill="FFFFFF"/>
            <w:noWrap/>
            <w:vAlign w:val="center"/>
            <w:hideMark/>
          </w:tcPr>
          <w:p w14:paraId="44DA87E7"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Ingresos Por Clasificar</w:t>
            </w:r>
          </w:p>
        </w:tc>
        <w:tc>
          <w:tcPr>
            <w:tcW w:w="2381" w:type="dxa"/>
            <w:tcBorders>
              <w:top w:val="nil"/>
              <w:left w:val="nil"/>
              <w:bottom w:val="nil"/>
              <w:right w:val="single" w:sz="8" w:space="0" w:color="auto"/>
            </w:tcBorders>
            <w:shd w:val="clear" w:color="000000" w:fill="FFFFFF"/>
            <w:noWrap/>
            <w:vAlign w:val="center"/>
            <w:hideMark/>
          </w:tcPr>
          <w:p w14:paraId="0E9C76ED"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19,975,550</w:t>
            </w:r>
          </w:p>
        </w:tc>
        <w:tc>
          <w:tcPr>
            <w:tcW w:w="1987" w:type="dxa"/>
            <w:tcBorders>
              <w:top w:val="nil"/>
              <w:left w:val="nil"/>
              <w:bottom w:val="nil"/>
              <w:right w:val="single" w:sz="8" w:space="0" w:color="auto"/>
            </w:tcBorders>
            <w:shd w:val="clear" w:color="000000" w:fill="FFFFFF"/>
            <w:noWrap/>
            <w:vAlign w:val="center"/>
            <w:hideMark/>
          </w:tcPr>
          <w:p w14:paraId="238B0996"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           18,354,094 </w:t>
            </w:r>
          </w:p>
        </w:tc>
      </w:tr>
      <w:tr w:rsidR="005B740F" w:rsidRPr="00853666" w14:paraId="25F71111" w14:textId="77777777" w:rsidTr="001B07C1">
        <w:trPr>
          <w:trHeight w:val="294"/>
        </w:trPr>
        <w:tc>
          <w:tcPr>
            <w:tcW w:w="4762" w:type="dxa"/>
            <w:tcBorders>
              <w:top w:val="nil"/>
              <w:left w:val="single" w:sz="8" w:space="0" w:color="auto"/>
              <w:bottom w:val="nil"/>
              <w:right w:val="single" w:sz="8" w:space="0" w:color="auto"/>
            </w:tcBorders>
            <w:shd w:val="clear" w:color="000000" w:fill="FFFFFF"/>
            <w:noWrap/>
            <w:vAlign w:val="center"/>
            <w:hideMark/>
          </w:tcPr>
          <w:p w14:paraId="78A0D5C8"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Recaudación Por Participar</w:t>
            </w:r>
          </w:p>
        </w:tc>
        <w:tc>
          <w:tcPr>
            <w:tcW w:w="2381" w:type="dxa"/>
            <w:tcBorders>
              <w:top w:val="nil"/>
              <w:left w:val="nil"/>
              <w:bottom w:val="nil"/>
              <w:right w:val="single" w:sz="8" w:space="0" w:color="auto"/>
            </w:tcBorders>
            <w:shd w:val="clear" w:color="000000" w:fill="FFFFFF"/>
            <w:noWrap/>
            <w:vAlign w:val="center"/>
            <w:hideMark/>
          </w:tcPr>
          <w:p w14:paraId="4D365F07"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525,185,560</w:t>
            </w:r>
          </w:p>
        </w:tc>
        <w:tc>
          <w:tcPr>
            <w:tcW w:w="1987" w:type="dxa"/>
            <w:tcBorders>
              <w:top w:val="nil"/>
              <w:left w:val="nil"/>
              <w:bottom w:val="nil"/>
              <w:right w:val="single" w:sz="8" w:space="0" w:color="auto"/>
            </w:tcBorders>
            <w:shd w:val="clear" w:color="000000" w:fill="FFFFFF"/>
            <w:noWrap/>
            <w:vAlign w:val="center"/>
            <w:hideMark/>
          </w:tcPr>
          <w:p w14:paraId="39E875AC"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816,941,149</w:t>
            </w:r>
          </w:p>
        </w:tc>
      </w:tr>
      <w:tr w:rsidR="005B740F" w:rsidRPr="00853666" w14:paraId="0B085964" w14:textId="77777777" w:rsidTr="001B07C1">
        <w:trPr>
          <w:trHeight w:val="309"/>
        </w:trPr>
        <w:tc>
          <w:tcPr>
            <w:tcW w:w="4762" w:type="dxa"/>
            <w:tcBorders>
              <w:top w:val="nil"/>
              <w:left w:val="single" w:sz="8" w:space="0" w:color="auto"/>
              <w:bottom w:val="single" w:sz="8" w:space="0" w:color="auto"/>
              <w:right w:val="single" w:sz="8" w:space="0" w:color="auto"/>
            </w:tcBorders>
            <w:shd w:val="clear" w:color="000000" w:fill="FFFFFF"/>
            <w:noWrap/>
            <w:vAlign w:val="center"/>
            <w:hideMark/>
          </w:tcPr>
          <w:p w14:paraId="12567AE4"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Otros Pasivos Circulantes</w:t>
            </w:r>
          </w:p>
        </w:tc>
        <w:tc>
          <w:tcPr>
            <w:tcW w:w="2381" w:type="dxa"/>
            <w:tcBorders>
              <w:top w:val="nil"/>
              <w:left w:val="nil"/>
              <w:bottom w:val="single" w:sz="8" w:space="0" w:color="auto"/>
              <w:right w:val="single" w:sz="8" w:space="0" w:color="auto"/>
            </w:tcBorders>
            <w:shd w:val="clear" w:color="000000" w:fill="FFFFFF"/>
            <w:noWrap/>
            <w:vAlign w:val="center"/>
            <w:hideMark/>
          </w:tcPr>
          <w:p w14:paraId="1AB53BC5"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1,047,726</w:t>
            </w:r>
          </w:p>
        </w:tc>
        <w:tc>
          <w:tcPr>
            <w:tcW w:w="1987" w:type="dxa"/>
            <w:tcBorders>
              <w:top w:val="nil"/>
              <w:left w:val="nil"/>
              <w:bottom w:val="single" w:sz="8" w:space="0" w:color="auto"/>
              <w:right w:val="single" w:sz="8" w:space="0" w:color="auto"/>
            </w:tcBorders>
            <w:shd w:val="clear" w:color="000000" w:fill="FFFFFF"/>
            <w:noWrap/>
            <w:vAlign w:val="center"/>
            <w:hideMark/>
          </w:tcPr>
          <w:p w14:paraId="35C2BE39"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1,542,964</w:t>
            </w:r>
          </w:p>
        </w:tc>
      </w:tr>
      <w:tr w:rsidR="005B740F" w:rsidRPr="00853666" w14:paraId="4EB0F77E" w14:textId="77777777" w:rsidTr="001B07C1">
        <w:trPr>
          <w:trHeight w:val="324"/>
        </w:trPr>
        <w:tc>
          <w:tcPr>
            <w:tcW w:w="4762" w:type="dxa"/>
            <w:tcBorders>
              <w:top w:val="nil"/>
              <w:left w:val="single" w:sz="8" w:space="0" w:color="auto"/>
              <w:bottom w:val="single" w:sz="8" w:space="0" w:color="auto"/>
              <w:right w:val="single" w:sz="8" w:space="0" w:color="auto"/>
            </w:tcBorders>
            <w:shd w:val="clear" w:color="000000" w:fill="FFFFFF"/>
            <w:noWrap/>
            <w:vAlign w:val="center"/>
            <w:hideMark/>
          </w:tcPr>
          <w:p w14:paraId="5A5A0C25"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81" w:type="dxa"/>
            <w:tcBorders>
              <w:top w:val="nil"/>
              <w:left w:val="nil"/>
              <w:bottom w:val="single" w:sz="8" w:space="0" w:color="auto"/>
              <w:right w:val="single" w:sz="8" w:space="0" w:color="auto"/>
            </w:tcBorders>
            <w:shd w:val="clear" w:color="000000" w:fill="FFFFFF"/>
            <w:noWrap/>
            <w:vAlign w:val="center"/>
            <w:hideMark/>
          </w:tcPr>
          <w:p w14:paraId="4B90D7D5"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546,208,836</w:t>
            </w:r>
          </w:p>
        </w:tc>
        <w:tc>
          <w:tcPr>
            <w:tcW w:w="1987" w:type="dxa"/>
            <w:tcBorders>
              <w:top w:val="nil"/>
              <w:left w:val="nil"/>
              <w:bottom w:val="single" w:sz="8" w:space="0" w:color="auto"/>
              <w:right w:val="single" w:sz="8" w:space="0" w:color="auto"/>
            </w:tcBorders>
            <w:shd w:val="clear" w:color="000000" w:fill="FFFFFF"/>
            <w:noWrap/>
            <w:vAlign w:val="center"/>
            <w:hideMark/>
          </w:tcPr>
          <w:p w14:paraId="0EB4F1E8"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836,838,207</w:t>
            </w:r>
          </w:p>
        </w:tc>
      </w:tr>
    </w:tbl>
    <w:p w14:paraId="76138F09" w14:textId="77777777" w:rsidR="009C05EA" w:rsidRPr="00853666" w:rsidRDefault="00B66A10" w:rsidP="00A63762">
      <w:pPr>
        <w:tabs>
          <w:tab w:val="left" w:pos="2859"/>
        </w:tabs>
        <w:rPr>
          <w:rFonts w:ascii="Monsserrat" w:hAnsi="Monsserrat"/>
          <w:b/>
          <w:sz w:val="26"/>
          <w:szCs w:val="26"/>
        </w:rPr>
      </w:pPr>
      <w:r w:rsidRPr="00853666">
        <w:rPr>
          <w:rFonts w:ascii="Monsserrat" w:hAnsi="Monsserrat"/>
          <w:b/>
          <w:sz w:val="26"/>
          <w:szCs w:val="26"/>
        </w:rPr>
        <w:tab/>
      </w:r>
    </w:p>
    <w:p w14:paraId="67634C8B" w14:textId="77777777" w:rsidR="009C05EA" w:rsidRPr="00853666" w:rsidRDefault="009C05EA">
      <w:pPr>
        <w:tabs>
          <w:tab w:val="left" w:pos="142"/>
        </w:tabs>
        <w:jc w:val="both"/>
        <w:rPr>
          <w:rFonts w:ascii="Monsserrat" w:hAnsi="Monsserrat"/>
          <w:b/>
          <w:sz w:val="26"/>
          <w:szCs w:val="26"/>
        </w:rPr>
      </w:pPr>
    </w:p>
    <w:p w14:paraId="677C6F7F" w14:textId="77777777" w:rsidR="009C05EA" w:rsidRPr="00853666" w:rsidRDefault="00F709E4">
      <w:pPr>
        <w:tabs>
          <w:tab w:val="left" w:pos="142"/>
        </w:tabs>
        <w:jc w:val="both"/>
        <w:rPr>
          <w:rFonts w:ascii="Monsserrat" w:hAnsi="Monsserrat"/>
          <w:sz w:val="26"/>
          <w:szCs w:val="26"/>
        </w:rPr>
      </w:pPr>
      <w:r w:rsidRPr="00853666">
        <w:rPr>
          <w:rFonts w:ascii="Monsserrat" w:hAnsi="Monsserrat"/>
          <w:b/>
          <w:sz w:val="26"/>
          <w:szCs w:val="26"/>
        </w:rPr>
        <w:t>Nota 11</w:t>
      </w:r>
      <w:r w:rsidR="00B66A10" w:rsidRPr="00853666">
        <w:rPr>
          <w:rFonts w:ascii="Monsserrat" w:hAnsi="Monsserrat"/>
          <w:b/>
          <w:sz w:val="26"/>
          <w:szCs w:val="26"/>
        </w:rPr>
        <w:t>.- Deuda Pública a Largo Plazo.</w:t>
      </w:r>
    </w:p>
    <w:p w14:paraId="2BCE56C5" w14:textId="77777777" w:rsidR="009C05EA" w:rsidRPr="00853666" w:rsidRDefault="009C05EA">
      <w:pPr>
        <w:tabs>
          <w:tab w:val="left" w:pos="142"/>
        </w:tabs>
        <w:ind w:firstLine="720"/>
        <w:jc w:val="both"/>
        <w:rPr>
          <w:rFonts w:ascii="Monsserrat" w:hAnsi="Monsserrat"/>
          <w:sz w:val="26"/>
          <w:szCs w:val="26"/>
        </w:rPr>
      </w:pPr>
    </w:p>
    <w:p w14:paraId="25E3922B" w14:textId="77777777" w:rsidR="009C05EA" w:rsidRPr="00853666" w:rsidRDefault="009C05EA">
      <w:pPr>
        <w:tabs>
          <w:tab w:val="left" w:pos="142"/>
        </w:tabs>
        <w:ind w:firstLine="720"/>
        <w:jc w:val="both"/>
        <w:rPr>
          <w:rFonts w:ascii="Monsserrat" w:hAnsi="Monsserrat"/>
          <w:sz w:val="26"/>
          <w:szCs w:val="26"/>
        </w:rPr>
      </w:pPr>
    </w:p>
    <w:p w14:paraId="266B43DB" w14:textId="77777777" w:rsidR="009C05EA" w:rsidRPr="00853666" w:rsidRDefault="00B66A10">
      <w:pPr>
        <w:tabs>
          <w:tab w:val="left" w:pos="142"/>
        </w:tabs>
        <w:jc w:val="both"/>
        <w:rPr>
          <w:rFonts w:ascii="Monsserrat" w:hAnsi="Monsserrat"/>
          <w:sz w:val="26"/>
          <w:szCs w:val="26"/>
        </w:rPr>
      </w:pPr>
      <w:r w:rsidRPr="00853666">
        <w:rPr>
          <w:rFonts w:ascii="Monsserrat" w:hAnsi="Monsserrat"/>
          <w:sz w:val="26"/>
          <w:szCs w:val="26"/>
        </w:rPr>
        <w:t>El saldo de esta cuenta representa el monto de las obligaciones directas o contingentes derivadas de financiamiento a cargo del Estado dentro del Poder Ejecutivo. A continuación se presenta la integra</w:t>
      </w:r>
      <w:r w:rsidR="00353D98" w:rsidRPr="00853666">
        <w:rPr>
          <w:rFonts w:ascii="Monsserrat" w:hAnsi="Monsserrat"/>
          <w:sz w:val="26"/>
          <w:szCs w:val="26"/>
        </w:rPr>
        <w:t>ción de este rubro de enero-juni</w:t>
      </w:r>
      <w:r w:rsidRPr="00853666">
        <w:rPr>
          <w:rFonts w:ascii="Monsserrat" w:hAnsi="Monsserrat"/>
          <w:sz w:val="26"/>
          <w:szCs w:val="26"/>
        </w:rPr>
        <w:t>o de 2022 y 2021:</w:t>
      </w:r>
    </w:p>
    <w:p w14:paraId="7C16DFED" w14:textId="77777777" w:rsidR="009C05EA" w:rsidRPr="00853666" w:rsidRDefault="009C05EA">
      <w:pPr>
        <w:tabs>
          <w:tab w:val="left" w:pos="142"/>
        </w:tabs>
        <w:jc w:val="both"/>
        <w:rPr>
          <w:rFonts w:ascii="Monsserrat" w:hAnsi="Monsserrat"/>
          <w:sz w:val="26"/>
          <w:szCs w:val="26"/>
        </w:rPr>
      </w:pPr>
    </w:p>
    <w:p w14:paraId="14999038" w14:textId="77777777" w:rsidR="009C05EA" w:rsidRPr="00853666" w:rsidRDefault="009C05EA">
      <w:pPr>
        <w:rPr>
          <w:rFonts w:ascii="Monsserrat" w:hAnsi="Monsserrat"/>
          <w:sz w:val="26"/>
          <w:szCs w:val="26"/>
        </w:rPr>
      </w:pPr>
    </w:p>
    <w:p w14:paraId="623E7767" w14:textId="77777777" w:rsidR="009C05EA" w:rsidRPr="00853666" w:rsidRDefault="00B66A10">
      <w:pPr>
        <w:jc w:val="center"/>
        <w:rPr>
          <w:rFonts w:ascii="Monsserrat" w:hAnsi="Monsserrat"/>
          <w:b/>
          <w:sz w:val="26"/>
          <w:szCs w:val="26"/>
        </w:rPr>
      </w:pPr>
      <w:r w:rsidRPr="00853666">
        <w:rPr>
          <w:rFonts w:ascii="Monsserrat" w:hAnsi="Monsserrat"/>
          <w:b/>
          <w:sz w:val="26"/>
          <w:szCs w:val="26"/>
        </w:rPr>
        <w:t xml:space="preserve"> (Pesos)</w:t>
      </w:r>
    </w:p>
    <w:tbl>
      <w:tblPr>
        <w:tblW w:w="9206" w:type="dxa"/>
        <w:tblInd w:w="55" w:type="dxa"/>
        <w:tblCellMar>
          <w:left w:w="70" w:type="dxa"/>
          <w:right w:w="70" w:type="dxa"/>
        </w:tblCellMar>
        <w:tblLook w:val="04A0" w:firstRow="1" w:lastRow="0" w:firstColumn="1" w:lastColumn="0" w:noHBand="0" w:noVBand="1"/>
      </w:tblPr>
      <w:tblGrid>
        <w:gridCol w:w="4970"/>
        <w:gridCol w:w="2133"/>
        <w:gridCol w:w="2103"/>
      </w:tblGrid>
      <w:tr w:rsidR="005B740F" w:rsidRPr="00853666" w14:paraId="66FB8BE4" w14:textId="77777777" w:rsidTr="00853666">
        <w:trPr>
          <w:trHeight w:val="330"/>
        </w:trPr>
        <w:tc>
          <w:tcPr>
            <w:tcW w:w="4970"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1779A10"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133" w:type="dxa"/>
            <w:tcBorders>
              <w:top w:val="single" w:sz="8" w:space="0" w:color="auto"/>
              <w:left w:val="nil"/>
              <w:bottom w:val="single" w:sz="8" w:space="0" w:color="auto"/>
              <w:right w:val="single" w:sz="8" w:space="0" w:color="auto"/>
            </w:tcBorders>
            <w:shd w:val="clear" w:color="000000" w:fill="828282"/>
            <w:vAlign w:val="center"/>
            <w:hideMark/>
          </w:tcPr>
          <w:p w14:paraId="345E2404"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2103" w:type="dxa"/>
            <w:tcBorders>
              <w:top w:val="single" w:sz="8" w:space="0" w:color="auto"/>
              <w:left w:val="nil"/>
              <w:bottom w:val="single" w:sz="8" w:space="0" w:color="auto"/>
              <w:right w:val="single" w:sz="8" w:space="0" w:color="auto"/>
            </w:tcBorders>
            <w:shd w:val="clear" w:color="000000" w:fill="828282"/>
            <w:vAlign w:val="center"/>
            <w:hideMark/>
          </w:tcPr>
          <w:p w14:paraId="1A987CE1"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305FF572" w14:textId="77777777" w:rsidTr="00853666">
        <w:trPr>
          <w:trHeight w:val="615"/>
        </w:trPr>
        <w:tc>
          <w:tcPr>
            <w:tcW w:w="4970" w:type="dxa"/>
            <w:tcBorders>
              <w:top w:val="nil"/>
              <w:left w:val="single" w:sz="8" w:space="0" w:color="auto"/>
              <w:bottom w:val="single" w:sz="8" w:space="0" w:color="auto"/>
              <w:right w:val="single" w:sz="8" w:space="0" w:color="auto"/>
            </w:tcBorders>
            <w:shd w:val="clear" w:color="auto" w:fill="auto"/>
            <w:noWrap/>
            <w:vAlign w:val="center"/>
            <w:hideMark/>
          </w:tcPr>
          <w:p w14:paraId="5B32A6F5"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 xml:space="preserve">Prestamos de la Deuda Pública Interna por Pagar a Largo Plazo </w:t>
            </w:r>
          </w:p>
        </w:tc>
        <w:tc>
          <w:tcPr>
            <w:tcW w:w="2133" w:type="dxa"/>
            <w:tcBorders>
              <w:top w:val="nil"/>
              <w:left w:val="nil"/>
              <w:bottom w:val="single" w:sz="8" w:space="0" w:color="auto"/>
              <w:right w:val="single" w:sz="8" w:space="0" w:color="auto"/>
            </w:tcBorders>
            <w:shd w:val="clear" w:color="000000" w:fill="FFFFFF"/>
            <w:noWrap/>
            <w:vAlign w:val="center"/>
            <w:hideMark/>
          </w:tcPr>
          <w:p w14:paraId="413BEBE1"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14,972,252,410</w:t>
            </w:r>
          </w:p>
        </w:tc>
        <w:tc>
          <w:tcPr>
            <w:tcW w:w="2103" w:type="dxa"/>
            <w:tcBorders>
              <w:top w:val="nil"/>
              <w:left w:val="nil"/>
              <w:bottom w:val="single" w:sz="8" w:space="0" w:color="auto"/>
              <w:right w:val="single" w:sz="8" w:space="0" w:color="auto"/>
            </w:tcBorders>
            <w:shd w:val="clear" w:color="000000" w:fill="FFFFFF"/>
            <w:noWrap/>
            <w:vAlign w:val="center"/>
            <w:hideMark/>
          </w:tcPr>
          <w:p w14:paraId="32D4FFA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14,124,669,823</w:t>
            </w:r>
          </w:p>
        </w:tc>
      </w:tr>
      <w:tr w:rsidR="005B740F" w:rsidRPr="00853666" w14:paraId="3E10C616" w14:textId="77777777" w:rsidTr="00853666">
        <w:trPr>
          <w:trHeight w:val="330"/>
        </w:trPr>
        <w:tc>
          <w:tcPr>
            <w:tcW w:w="4970" w:type="dxa"/>
            <w:tcBorders>
              <w:top w:val="nil"/>
              <w:left w:val="single" w:sz="8" w:space="0" w:color="auto"/>
              <w:bottom w:val="single" w:sz="8" w:space="0" w:color="auto"/>
              <w:right w:val="single" w:sz="8" w:space="0" w:color="auto"/>
            </w:tcBorders>
            <w:shd w:val="clear" w:color="000000" w:fill="FFFFFF"/>
            <w:noWrap/>
            <w:vAlign w:val="center"/>
            <w:hideMark/>
          </w:tcPr>
          <w:p w14:paraId="6C57D919"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133" w:type="dxa"/>
            <w:tcBorders>
              <w:top w:val="nil"/>
              <w:left w:val="nil"/>
              <w:bottom w:val="single" w:sz="8" w:space="0" w:color="auto"/>
              <w:right w:val="single" w:sz="8" w:space="0" w:color="auto"/>
            </w:tcBorders>
            <w:shd w:val="clear" w:color="000000" w:fill="FFFFFF"/>
            <w:noWrap/>
            <w:vAlign w:val="center"/>
            <w:hideMark/>
          </w:tcPr>
          <w:p w14:paraId="01308740"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14,972,252,410</w:t>
            </w:r>
          </w:p>
        </w:tc>
        <w:tc>
          <w:tcPr>
            <w:tcW w:w="2103" w:type="dxa"/>
            <w:tcBorders>
              <w:top w:val="nil"/>
              <w:left w:val="nil"/>
              <w:bottom w:val="single" w:sz="8" w:space="0" w:color="auto"/>
              <w:right w:val="single" w:sz="8" w:space="0" w:color="auto"/>
            </w:tcBorders>
            <w:shd w:val="clear" w:color="000000" w:fill="FFFFFF"/>
            <w:noWrap/>
            <w:vAlign w:val="center"/>
            <w:hideMark/>
          </w:tcPr>
          <w:p w14:paraId="3DC15CC5"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14,124,669,823</w:t>
            </w:r>
          </w:p>
        </w:tc>
      </w:tr>
    </w:tbl>
    <w:p w14:paraId="248C1B1A" w14:textId="77777777" w:rsidR="009C05EA" w:rsidRPr="00853666" w:rsidRDefault="009C05EA">
      <w:pPr>
        <w:rPr>
          <w:rFonts w:ascii="Monsserrat" w:hAnsi="Monsserrat"/>
          <w:sz w:val="26"/>
          <w:szCs w:val="26"/>
        </w:rPr>
      </w:pPr>
    </w:p>
    <w:p w14:paraId="2DF87782" w14:textId="20EB6235" w:rsidR="009C05EA" w:rsidRPr="00853666" w:rsidRDefault="009C05EA">
      <w:pPr>
        <w:jc w:val="both"/>
        <w:rPr>
          <w:rFonts w:ascii="Monsserrat" w:hAnsi="Monsserrat"/>
          <w:b/>
          <w:sz w:val="26"/>
          <w:szCs w:val="26"/>
        </w:rPr>
      </w:pPr>
    </w:p>
    <w:p w14:paraId="01234122" w14:textId="40865978" w:rsidR="00AC0D24" w:rsidRPr="00853666" w:rsidRDefault="00AC0D24">
      <w:pPr>
        <w:jc w:val="both"/>
        <w:rPr>
          <w:rFonts w:ascii="Monsserrat" w:hAnsi="Monsserrat"/>
          <w:b/>
          <w:sz w:val="26"/>
          <w:szCs w:val="26"/>
        </w:rPr>
      </w:pPr>
    </w:p>
    <w:p w14:paraId="7D231932" w14:textId="468A9F34" w:rsidR="00AC0D24" w:rsidRPr="00853666" w:rsidRDefault="00AC0D24">
      <w:pPr>
        <w:jc w:val="both"/>
        <w:rPr>
          <w:rFonts w:ascii="Monsserrat" w:hAnsi="Monsserrat"/>
          <w:b/>
          <w:sz w:val="26"/>
          <w:szCs w:val="26"/>
        </w:rPr>
      </w:pPr>
    </w:p>
    <w:p w14:paraId="4F0A7A76" w14:textId="6008E246" w:rsidR="00AC0D24" w:rsidRPr="00853666" w:rsidRDefault="00AC0D24">
      <w:pPr>
        <w:jc w:val="both"/>
        <w:rPr>
          <w:rFonts w:ascii="Monsserrat" w:hAnsi="Monsserrat"/>
          <w:b/>
          <w:sz w:val="26"/>
          <w:szCs w:val="26"/>
        </w:rPr>
      </w:pPr>
    </w:p>
    <w:p w14:paraId="4FDD765D" w14:textId="7E12ACF1" w:rsidR="00AC0D24" w:rsidRPr="00853666" w:rsidRDefault="00AC0D24">
      <w:pPr>
        <w:jc w:val="both"/>
        <w:rPr>
          <w:rFonts w:ascii="Monsserrat" w:hAnsi="Monsserrat"/>
          <w:b/>
          <w:sz w:val="26"/>
          <w:szCs w:val="26"/>
        </w:rPr>
      </w:pPr>
    </w:p>
    <w:p w14:paraId="300D7F82" w14:textId="77777777" w:rsidR="009C05EA" w:rsidRPr="00853666" w:rsidRDefault="00F709E4">
      <w:pPr>
        <w:jc w:val="both"/>
        <w:rPr>
          <w:rFonts w:ascii="Monsserrat" w:hAnsi="Monsserrat"/>
          <w:b/>
          <w:sz w:val="26"/>
          <w:szCs w:val="26"/>
        </w:rPr>
      </w:pPr>
      <w:r w:rsidRPr="00853666">
        <w:rPr>
          <w:rFonts w:ascii="Monsserrat" w:hAnsi="Monsserrat"/>
          <w:b/>
          <w:sz w:val="26"/>
          <w:szCs w:val="26"/>
        </w:rPr>
        <w:t>Nota 12</w:t>
      </w:r>
      <w:r w:rsidR="00B66A10" w:rsidRPr="00853666">
        <w:rPr>
          <w:rFonts w:ascii="Monsserrat" w:hAnsi="Monsserrat"/>
          <w:b/>
          <w:sz w:val="26"/>
          <w:szCs w:val="26"/>
        </w:rPr>
        <w:t>.- Fondos y Bienes de Terceros en Garantía y/o en Administración a Largo Plazo.</w:t>
      </w:r>
    </w:p>
    <w:p w14:paraId="10E16A6F" w14:textId="77777777" w:rsidR="009C05EA" w:rsidRPr="00853666" w:rsidRDefault="009C05EA">
      <w:pPr>
        <w:jc w:val="both"/>
        <w:rPr>
          <w:rFonts w:ascii="Monsserrat" w:hAnsi="Monsserrat"/>
          <w:b/>
          <w:sz w:val="26"/>
          <w:szCs w:val="26"/>
        </w:rPr>
      </w:pPr>
    </w:p>
    <w:p w14:paraId="10201720" w14:textId="77777777" w:rsidR="009C05EA" w:rsidRPr="00853666" w:rsidRDefault="00353D98">
      <w:pPr>
        <w:jc w:val="both"/>
        <w:rPr>
          <w:rFonts w:ascii="Monsserrat" w:hAnsi="Monsserrat"/>
          <w:sz w:val="26"/>
          <w:szCs w:val="26"/>
        </w:rPr>
      </w:pPr>
      <w:r w:rsidRPr="00853666">
        <w:rPr>
          <w:rFonts w:ascii="Monsserrat" w:hAnsi="Monsserrat"/>
          <w:sz w:val="26"/>
          <w:szCs w:val="26"/>
        </w:rPr>
        <w:t>El saldo al 30 de juni</w:t>
      </w:r>
      <w:r w:rsidR="00B66A10" w:rsidRPr="00853666">
        <w:rPr>
          <w:rFonts w:ascii="Monsserrat" w:hAnsi="Monsserrat"/>
          <w:sz w:val="26"/>
          <w:szCs w:val="26"/>
        </w:rPr>
        <w:t>o de 2022 y 2021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0BFD0E6C" w14:textId="77777777" w:rsidR="009C05EA" w:rsidRPr="00853666" w:rsidRDefault="009C05EA">
      <w:pPr>
        <w:rPr>
          <w:rFonts w:ascii="Monsserrat" w:hAnsi="Monsserrat"/>
          <w:sz w:val="26"/>
          <w:szCs w:val="26"/>
        </w:rPr>
      </w:pPr>
    </w:p>
    <w:p w14:paraId="061F07C6" w14:textId="77777777" w:rsidR="009C05EA" w:rsidRPr="00853666" w:rsidRDefault="00B66A10">
      <w:pPr>
        <w:jc w:val="center"/>
        <w:rPr>
          <w:rFonts w:ascii="Monsserrat" w:hAnsi="Monsserrat"/>
          <w:b/>
          <w:sz w:val="26"/>
          <w:szCs w:val="26"/>
        </w:rPr>
      </w:pPr>
      <w:r w:rsidRPr="00853666">
        <w:rPr>
          <w:rFonts w:ascii="Monsserrat" w:hAnsi="Monsserrat"/>
          <w:b/>
          <w:sz w:val="26"/>
          <w:szCs w:val="26"/>
        </w:rPr>
        <w:t>(Pesos)</w:t>
      </w:r>
    </w:p>
    <w:tbl>
      <w:tblPr>
        <w:tblW w:w="9100" w:type="dxa"/>
        <w:tblInd w:w="55" w:type="dxa"/>
        <w:tblCellMar>
          <w:left w:w="70" w:type="dxa"/>
          <w:right w:w="70" w:type="dxa"/>
        </w:tblCellMar>
        <w:tblLook w:val="04A0" w:firstRow="1" w:lastRow="0" w:firstColumn="1" w:lastColumn="0" w:noHBand="0" w:noVBand="1"/>
      </w:tblPr>
      <w:tblGrid>
        <w:gridCol w:w="4746"/>
        <w:gridCol w:w="2373"/>
        <w:gridCol w:w="1981"/>
      </w:tblGrid>
      <w:tr w:rsidR="005B740F" w:rsidRPr="00853666" w14:paraId="4BBD6E31" w14:textId="77777777" w:rsidTr="001B07C1">
        <w:trPr>
          <w:trHeight w:val="377"/>
        </w:trPr>
        <w:tc>
          <w:tcPr>
            <w:tcW w:w="4746"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6F79F5CB"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73" w:type="dxa"/>
            <w:tcBorders>
              <w:top w:val="single" w:sz="8" w:space="0" w:color="auto"/>
              <w:left w:val="nil"/>
              <w:bottom w:val="single" w:sz="8" w:space="0" w:color="auto"/>
              <w:right w:val="single" w:sz="8" w:space="0" w:color="auto"/>
            </w:tcBorders>
            <w:shd w:val="clear" w:color="000000" w:fill="828282"/>
            <w:vAlign w:val="center"/>
            <w:hideMark/>
          </w:tcPr>
          <w:p w14:paraId="34D755CC"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81" w:type="dxa"/>
            <w:tcBorders>
              <w:top w:val="single" w:sz="8" w:space="0" w:color="auto"/>
              <w:left w:val="nil"/>
              <w:bottom w:val="single" w:sz="8" w:space="0" w:color="auto"/>
              <w:right w:val="single" w:sz="8" w:space="0" w:color="auto"/>
            </w:tcBorders>
            <w:shd w:val="clear" w:color="000000" w:fill="828282"/>
            <w:vAlign w:val="center"/>
            <w:hideMark/>
          </w:tcPr>
          <w:p w14:paraId="44034010"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1C61B210" w14:textId="77777777" w:rsidTr="001B07C1">
        <w:trPr>
          <w:trHeight w:val="361"/>
        </w:trPr>
        <w:tc>
          <w:tcPr>
            <w:tcW w:w="4746" w:type="dxa"/>
            <w:tcBorders>
              <w:top w:val="nil"/>
              <w:left w:val="single" w:sz="8" w:space="0" w:color="auto"/>
              <w:bottom w:val="single" w:sz="8" w:space="0" w:color="auto"/>
              <w:right w:val="single" w:sz="8" w:space="0" w:color="auto"/>
            </w:tcBorders>
            <w:shd w:val="clear" w:color="000000" w:fill="FFFFFF"/>
            <w:noWrap/>
            <w:vAlign w:val="center"/>
            <w:hideMark/>
          </w:tcPr>
          <w:p w14:paraId="3D393979"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Fondos en Garantía a Largo Plazo</w:t>
            </w:r>
          </w:p>
        </w:tc>
        <w:tc>
          <w:tcPr>
            <w:tcW w:w="2373" w:type="dxa"/>
            <w:tcBorders>
              <w:top w:val="nil"/>
              <w:left w:val="nil"/>
              <w:bottom w:val="single" w:sz="8" w:space="0" w:color="auto"/>
              <w:right w:val="single" w:sz="8" w:space="0" w:color="auto"/>
            </w:tcBorders>
            <w:shd w:val="clear" w:color="000000" w:fill="FFFFFF"/>
            <w:noWrap/>
            <w:vAlign w:val="center"/>
            <w:hideMark/>
          </w:tcPr>
          <w:p w14:paraId="575EB178"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22,060,290</w:t>
            </w:r>
          </w:p>
        </w:tc>
        <w:tc>
          <w:tcPr>
            <w:tcW w:w="1981" w:type="dxa"/>
            <w:tcBorders>
              <w:top w:val="nil"/>
              <w:left w:val="nil"/>
              <w:bottom w:val="single" w:sz="8" w:space="0" w:color="auto"/>
              <w:right w:val="single" w:sz="8" w:space="0" w:color="auto"/>
            </w:tcBorders>
            <w:shd w:val="clear" w:color="000000" w:fill="FFFFFF"/>
            <w:noWrap/>
            <w:vAlign w:val="center"/>
            <w:hideMark/>
          </w:tcPr>
          <w:p w14:paraId="66CB329E"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19,157,403</w:t>
            </w:r>
          </w:p>
        </w:tc>
      </w:tr>
      <w:tr w:rsidR="005B740F" w:rsidRPr="00853666" w14:paraId="616ECD8E" w14:textId="77777777" w:rsidTr="001B07C1">
        <w:trPr>
          <w:trHeight w:val="377"/>
        </w:trPr>
        <w:tc>
          <w:tcPr>
            <w:tcW w:w="4746" w:type="dxa"/>
            <w:tcBorders>
              <w:top w:val="nil"/>
              <w:left w:val="single" w:sz="8" w:space="0" w:color="auto"/>
              <w:bottom w:val="single" w:sz="8" w:space="0" w:color="auto"/>
              <w:right w:val="single" w:sz="8" w:space="0" w:color="auto"/>
            </w:tcBorders>
            <w:shd w:val="clear" w:color="000000" w:fill="FFFFFF"/>
            <w:noWrap/>
            <w:vAlign w:val="center"/>
            <w:hideMark/>
          </w:tcPr>
          <w:p w14:paraId="6AF8E168"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73" w:type="dxa"/>
            <w:tcBorders>
              <w:top w:val="nil"/>
              <w:left w:val="nil"/>
              <w:bottom w:val="single" w:sz="8" w:space="0" w:color="auto"/>
              <w:right w:val="single" w:sz="8" w:space="0" w:color="auto"/>
            </w:tcBorders>
            <w:shd w:val="clear" w:color="000000" w:fill="FFFFFF"/>
            <w:noWrap/>
            <w:vAlign w:val="center"/>
            <w:hideMark/>
          </w:tcPr>
          <w:p w14:paraId="68EC4B90"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22,060,290</w:t>
            </w:r>
          </w:p>
        </w:tc>
        <w:tc>
          <w:tcPr>
            <w:tcW w:w="1981" w:type="dxa"/>
            <w:tcBorders>
              <w:top w:val="nil"/>
              <w:left w:val="nil"/>
              <w:bottom w:val="single" w:sz="8" w:space="0" w:color="auto"/>
              <w:right w:val="single" w:sz="8" w:space="0" w:color="auto"/>
            </w:tcBorders>
            <w:shd w:val="clear" w:color="000000" w:fill="FFFFFF"/>
            <w:noWrap/>
            <w:vAlign w:val="center"/>
            <w:hideMark/>
          </w:tcPr>
          <w:p w14:paraId="4C1BCC06"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19,157,403</w:t>
            </w:r>
          </w:p>
        </w:tc>
      </w:tr>
    </w:tbl>
    <w:p w14:paraId="72D0B672" w14:textId="77777777" w:rsidR="009C05EA" w:rsidRPr="00853666" w:rsidRDefault="009C05EA">
      <w:pPr>
        <w:jc w:val="both"/>
        <w:rPr>
          <w:rFonts w:ascii="Monsserrat" w:hAnsi="Monsserrat"/>
          <w:b/>
          <w:sz w:val="26"/>
          <w:szCs w:val="26"/>
        </w:rPr>
      </w:pPr>
    </w:p>
    <w:p w14:paraId="67176195" w14:textId="77777777" w:rsidR="00853666" w:rsidRDefault="00853666">
      <w:pPr>
        <w:jc w:val="both"/>
        <w:rPr>
          <w:rFonts w:ascii="Monsserrat" w:hAnsi="Monsserrat"/>
          <w:b/>
          <w:sz w:val="26"/>
          <w:szCs w:val="26"/>
        </w:rPr>
      </w:pPr>
    </w:p>
    <w:p w14:paraId="70D1F890" w14:textId="3F31730C" w:rsidR="009C05EA" w:rsidRPr="00853666" w:rsidRDefault="00F709E4">
      <w:pPr>
        <w:jc w:val="both"/>
        <w:rPr>
          <w:rFonts w:ascii="Monsserrat" w:hAnsi="Monsserrat"/>
          <w:b/>
          <w:sz w:val="26"/>
          <w:szCs w:val="26"/>
        </w:rPr>
      </w:pPr>
      <w:r w:rsidRPr="00853666">
        <w:rPr>
          <w:rFonts w:ascii="Monsserrat" w:hAnsi="Monsserrat"/>
          <w:b/>
          <w:sz w:val="26"/>
          <w:szCs w:val="26"/>
        </w:rPr>
        <w:t>Nota 13</w:t>
      </w:r>
      <w:r w:rsidR="00B66A10" w:rsidRPr="00853666">
        <w:rPr>
          <w:rFonts w:ascii="Monsserrat" w:hAnsi="Monsserrat"/>
          <w:b/>
          <w:sz w:val="26"/>
          <w:szCs w:val="26"/>
        </w:rPr>
        <w:t>.- Al Estado de Variación de la Hacienda Pública/Patrimonio</w:t>
      </w:r>
    </w:p>
    <w:p w14:paraId="42399390" w14:textId="77777777" w:rsidR="009C05EA" w:rsidRPr="00853666" w:rsidRDefault="009C05EA">
      <w:pPr>
        <w:pBdr>
          <w:top w:val="nil"/>
          <w:left w:val="nil"/>
          <w:bottom w:val="nil"/>
          <w:right w:val="nil"/>
          <w:between w:val="nil"/>
        </w:pBdr>
        <w:jc w:val="both"/>
        <w:rPr>
          <w:rFonts w:ascii="Monsserrat" w:hAnsi="Monsserrat"/>
          <w:sz w:val="26"/>
          <w:szCs w:val="26"/>
        </w:rPr>
      </w:pPr>
    </w:p>
    <w:p w14:paraId="426476AA" w14:textId="77777777" w:rsidR="009C05EA" w:rsidRPr="00853666" w:rsidRDefault="00B66A10">
      <w:pPr>
        <w:pBdr>
          <w:top w:val="nil"/>
          <w:left w:val="nil"/>
          <w:bottom w:val="nil"/>
          <w:right w:val="nil"/>
          <w:between w:val="nil"/>
        </w:pBdr>
        <w:jc w:val="both"/>
        <w:rPr>
          <w:rFonts w:ascii="Monsserrat" w:hAnsi="Monsserrat"/>
          <w:sz w:val="26"/>
          <w:szCs w:val="26"/>
        </w:rPr>
      </w:pPr>
      <w:r w:rsidRPr="00853666">
        <w:rPr>
          <w:rFonts w:ascii="Monsserrat" w:hAnsi="Monsserrat"/>
          <w:sz w:val="26"/>
          <w:szCs w:val="26"/>
        </w:rPr>
        <w:t>Este Estado Consolidado muestra el monto de la Hacienda Pública/Patrimonio, con relación al Estado de Situación Financiera Consolidado del Poder Ejecutivo al cierre del periodo enero-junio de 2022 y 2021, se integra de la siguiente forma:</w:t>
      </w:r>
    </w:p>
    <w:p w14:paraId="23293A71" w14:textId="77777777" w:rsidR="009C05EA" w:rsidRPr="00853666" w:rsidRDefault="009C05EA">
      <w:pPr>
        <w:widowControl w:val="0"/>
        <w:jc w:val="both"/>
        <w:rPr>
          <w:rFonts w:ascii="Monsserrat" w:hAnsi="Monsserrat"/>
          <w:sz w:val="26"/>
          <w:szCs w:val="26"/>
        </w:rPr>
      </w:pPr>
    </w:p>
    <w:p w14:paraId="2D66421A" w14:textId="77777777" w:rsidR="009C05EA" w:rsidRPr="00853666" w:rsidRDefault="00B66A10">
      <w:pPr>
        <w:widowControl w:val="0"/>
        <w:jc w:val="center"/>
        <w:rPr>
          <w:rFonts w:ascii="Monsserrat" w:hAnsi="Monsserrat"/>
          <w:b/>
          <w:sz w:val="26"/>
          <w:szCs w:val="26"/>
        </w:rPr>
      </w:pPr>
      <w:r w:rsidRPr="00853666">
        <w:rPr>
          <w:rFonts w:ascii="Monsserrat" w:hAnsi="Monsserrat"/>
          <w:b/>
          <w:sz w:val="26"/>
          <w:szCs w:val="26"/>
        </w:rPr>
        <w:t>(Pesos)</w:t>
      </w:r>
    </w:p>
    <w:tbl>
      <w:tblPr>
        <w:tblW w:w="9055" w:type="dxa"/>
        <w:tblInd w:w="55" w:type="dxa"/>
        <w:tblCellMar>
          <w:left w:w="70" w:type="dxa"/>
          <w:right w:w="70" w:type="dxa"/>
        </w:tblCellMar>
        <w:tblLook w:val="04A0" w:firstRow="1" w:lastRow="0" w:firstColumn="1" w:lastColumn="0" w:noHBand="0" w:noVBand="1"/>
      </w:tblPr>
      <w:tblGrid>
        <w:gridCol w:w="4723"/>
        <w:gridCol w:w="2361"/>
        <w:gridCol w:w="1971"/>
      </w:tblGrid>
      <w:tr w:rsidR="005B740F" w:rsidRPr="00853666" w14:paraId="027F129F" w14:textId="77777777" w:rsidTr="001B07C1">
        <w:trPr>
          <w:trHeight w:val="352"/>
        </w:trPr>
        <w:tc>
          <w:tcPr>
            <w:tcW w:w="4723"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702B397"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61" w:type="dxa"/>
            <w:tcBorders>
              <w:top w:val="single" w:sz="8" w:space="0" w:color="auto"/>
              <w:left w:val="nil"/>
              <w:bottom w:val="single" w:sz="8" w:space="0" w:color="auto"/>
              <w:right w:val="single" w:sz="8" w:space="0" w:color="auto"/>
            </w:tcBorders>
            <w:shd w:val="clear" w:color="000000" w:fill="828282"/>
            <w:vAlign w:val="center"/>
            <w:hideMark/>
          </w:tcPr>
          <w:p w14:paraId="4DB08105"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71" w:type="dxa"/>
            <w:tcBorders>
              <w:top w:val="single" w:sz="8" w:space="0" w:color="auto"/>
              <w:left w:val="nil"/>
              <w:bottom w:val="single" w:sz="8" w:space="0" w:color="auto"/>
              <w:right w:val="single" w:sz="8" w:space="0" w:color="auto"/>
            </w:tcBorders>
            <w:shd w:val="clear" w:color="000000" w:fill="828282"/>
            <w:vAlign w:val="center"/>
            <w:hideMark/>
          </w:tcPr>
          <w:p w14:paraId="07527C81"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14A2098A" w14:textId="77777777" w:rsidTr="001B07C1">
        <w:trPr>
          <w:trHeight w:val="320"/>
        </w:trPr>
        <w:tc>
          <w:tcPr>
            <w:tcW w:w="4723" w:type="dxa"/>
            <w:tcBorders>
              <w:top w:val="nil"/>
              <w:left w:val="single" w:sz="8" w:space="0" w:color="auto"/>
              <w:bottom w:val="nil"/>
              <w:right w:val="single" w:sz="8" w:space="0" w:color="auto"/>
            </w:tcBorders>
            <w:shd w:val="clear" w:color="000000" w:fill="FFFFFF"/>
            <w:vAlign w:val="center"/>
            <w:hideMark/>
          </w:tcPr>
          <w:p w14:paraId="5FFA0240"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Hacienda Pública/Patrimonio Contribuido</w:t>
            </w:r>
          </w:p>
        </w:tc>
        <w:tc>
          <w:tcPr>
            <w:tcW w:w="2361" w:type="dxa"/>
            <w:tcBorders>
              <w:top w:val="nil"/>
              <w:left w:val="nil"/>
              <w:bottom w:val="nil"/>
              <w:right w:val="single" w:sz="8" w:space="0" w:color="auto"/>
            </w:tcBorders>
            <w:shd w:val="clear" w:color="000000" w:fill="FFFFFF"/>
            <w:noWrap/>
            <w:vAlign w:val="center"/>
            <w:hideMark/>
          </w:tcPr>
          <w:p w14:paraId="15353CB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2,647,645,054</w:t>
            </w:r>
          </w:p>
        </w:tc>
        <w:tc>
          <w:tcPr>
            <w:tcW w:w="1971" w:type="dxa"/>
            <w:tcBorders>
              <w:top w:val="nil"/>
              <w:left w:val="nil"/>
              <w:bottom w:val="nil"/>
              <w:right w:val="single" w:sz="8" w:space="0" w:color="auto"/>
            </w:tcBorders>
            <w:shd w:val="clear" w:color="000000" w:fill="FFFFFF"/>
            <w:noWrap/>
            <w:vAlign w:val="center"/>
            <w:hideMark/>
          </w:tcPr>
          <w:p w14:paraId="36667BA4"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1,591,140,247</w:t>
            </w:r>
          </w:p>
        </w:tc>
      </w:tr>
      <w:tr w:rsidR="005B740F" w:rsidRPr="00853666" w14:paraId="76A88E10" w14:textId="77777777" w:rsidTr="001B07C1">
        <w:trPr>
          <w:trHeight w:val="336"/>
        </w:trPr>
        <w:tc>
          <w:tcPr>
            <w:tcW w:w="4723" w:type="dxa"/>
            <w:tcBorders>
              <w:top w:val="nil"/>
              <w:left w:val="single" w:sz="8" w:space="0" w:color="auto"/>
              <w:bottom w:val="single" w:sz="8" w:space="0" w:color="auto"/>
              <w:right w:val="single" w:sz="8" w:space="0" w:color="auto"/>
            </w:tcBorders>
            <w:shd w:val="clear" w:color="000000" w:fill="FFFFFF"/>
            <w:vAlign w:val="center"/>
            <w:hideMark/>
          </w:tcPr>
          <w:p w14:paraId="2754A723"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Hacienda Pública/Patrimonio Generado</w:t>
            </w:r>
          </w:p>
        </w:tc>
        <w:tc>
          <w:tcPr>
            <w:tcW w:w="2361" w:type="dxa"/>
            <w:tcBorders>
              <w:top w:val="nil"/>
              <w:left w:val="nil"/>
              <w:bottom w:val="single" w:sz="8" w:space="0" w:color="auto"/>
              <w:right w:val="single" w:sz="8" w:space="0" w:color="auto"/>
            </w:tcBorders>
            <w:shd w:val="clear" w:color="000000" w:fill="FFFFFF"/>
            <w:noWrap/>
            <w:vAlign w:val="center"/>
            <w:hideMark/>
          </w:tcPr>
          <w:p w14:paraId="759C9F6F"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6,511,534,449</w:t>
            </w:r>
          </w:p>
        </w:tc>
        <w:tc>
          <w:tcPr>
            <w:tcW w:w="1971" w:type="dxa"/>
            <w:tcBorders>
              <w:top w:val="nil"/>
              <w:left w:val="nil"/>
              <w:bottom w:val="single" w:sz="8" w:space="0" w:color="auto"/>
              <w:right w:val="single" w:sz="8" w:space="0" w:color="auto"/>
            </w:tcBorders>
            <w:shd w:val="clear" w:color="000000" w:fill="FFFFFF"/>
            <w:noWrap/>
            <w:vAlign w:val="center"/>
            <w:hideMark/>
          </w:tcPr>
          <w:p w14:paraId="149D6E99"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6,112,088,340</w:t>
            </w:r>
          </w:p>
        </w:tc>
      </w:tr>
      <w:tr w:rsidR="005B740F" w:rsidRPr="00853666" w14:paraId="67468A72" w14:textId="77777777" w:rsidTr="001B07C1">
        <w:trPr>
          <w:trHeight w:val="352"/>
        </w:trPr>
        <w:tc>
          <w:tcPr>
            <w:tcW w:w="4723" w:type="dxa"/>
            <w:tcBorders>
              <w:top w:val="nil"/>
              <w:left w:val="single" w:sz="8" w:space="0" w:color="auto"/>
              <w:bottom w:val="single" w:sz="8" w:space="0" w:color="auto"/>
              <w:right w:val="single" w:sz="8" w:space="0" w:color="auto"/>
            </w:tcBorders>
            <w:shd w:val="clear" w:color="000000" w:fill="FFFFFF"/>
            <w:noWrap/>
            <w:vAlign w:val="center"/>
            <w:hideMark/>
          </w:tcPr>
          <w:p w14:paraId="3B5EFBA4"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61" w:type="dxa"/>
            <w:tcBorders>
              <w:top w:val="nil"/>
              <w:left w:val="nil"/>
              <w:bottom w:val="single" w:sz="8" w:space="0" w:color="auto"/>
              <w:right w:val="single" w:sz="8" w:space="0" w:color="auto"/>
            </w:tcBorders>
            <w:shd w:val="clear" w:color="000000" w:fill="FFFFFF"/>
            <w:noWrap/>
            <w:vAlign w:val="center"/>
            <w:hideMark/>
          </w:tcPr>
          <w:p w14:paraId="45E897EC"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9,159,179,503</w:t>
            </w:r>
          </w:p>
        </w:tc>
        <w:tc>
          <w:tcPr>
            <w:tcW w:w="1971" w:type="dxa"/>
            <w:tcBorders>
              <w:top w:val="nil"/>
              <w:left w:val="nil"/>
              <w:bottom w:val="single" w:sz="8" w:space="0" w:color="auto"/>
              <w:right w:val="single" w:sz="8" w:space="0" w:color="auto"/>
            </w:tcBorders>
            <w:shd w:val="clear" w:color="000000" w:fill="FFFFFF"/>
            <w:noWrap/>
            <w:vAlign w:val="center"/>
            <w:hideMark/>
          </w:tcPr>
          <w:p w14:paraId="07190E4E"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7,703,228,587</w:t>
            </w:r>
          </w:p>
        </w:tc>
      </w:tr>
    </w:tbl>
    <w:p w14:paraId="183A1587" w14:textId="77777777" w:rsidR="009C05EA" w:rsidRPr="00853666" w:rsidRDefault="009C05EA">
      <w:pPr>
        <w:widowControl w:val="0"/>
        <w:jc w:val="both"/>
        <w:rPr>
          <w:rFonts w:ascii="Monsserrat" w:hAnsi="Monsserrat"/>
          <w:sz w:val="26"/>
          <w:szCs w:val="26"/>
        </w:rPr>
      </w:pPr>
    </w:p>
    <w:p w14:paraId="4642D3DD" w14:textId="77777777" w:rsidR="00853666" w:rsidRDefault="00853666">
      <w:pPr>
        <w:widowControl w:val="0"/>
        <w:jc w:val="both"/>
        <w:rPr>
          <w:rFonts w:ascii="Monsserrat" w:hAnsi="Monsserrat"/>
          <w:b/>
          <w:sz w:val="26"/>
          <w:szCs w:val="26"/>
        </w:rPr>
      </w:pPr>
    </w:p>
    <w:p w14:paraId="075894EB" w14:textId="07078340" w:rsidR="009C05EA" w:rsidRPr="00853666" w:rsidRDefault="00B66A10">
      <w:pPr>
        <w:widowControl w:val="0"/>
        <w:jc w:val="both"/>
        <w:rPr>
          <w:rFonts w:ascii="Monsserrat" w:hAnsi="Monsserrat"/>
          <w:b/>
          <w:sz w:val="26"/>
          <w:szCs w:val="26"/>
        </w:rPr>
      </w:pPr>
      <w:r w:rsidRPr="00853666">
        <w:rPr>
          <w:rFonts w:ascii="Monsserrat" w:hAnsi="Monsserrat"/>
          <w:b/>
          <w:sz w:val="26"/>
          <w:szCs w:val="26"/>
        </w:rPr>
        <w:t>Al Estado de Actividades</w:t>
      </w:r>
    </w:p>
    <w:p w14:paraId="6C55A9AD" w14:textId="77777777" w:rsidR="009C05EA" w:rsidRPr="00853666" w:rsidRDefault="009C05EA">
      <w:pPr>
        <w:widowControl w:val="0"/>
        <w:jc w:val="both"/>
        <w:rPr>
          <w:rFonts w:ascii="Monsserrat" w:hAnsi="Monsserrat"/>
          <w:sz w:val="26"/>
          <w:szCs w:val="26"/>
        </w:rPr>
      </w:pPr>
    </w:p>
    <w:p w14:paraId="2D5B356E" w14:textId="77777777" w:rsidR="009C05EA" w:rsidRPr="00853666" w:rsidRDefault="009C05EA">
      <w:pPr>
        <w:widowControl w:val="0"/>
        <w:jc w:val="both"/>
        <w:rPr>
          <w:rFonts w:ascii="Monsserrat" w:hAnsi="Monsserrat"/>
          <w:sz w:val="26"/>
          <w:szCs w:val="26"/>
        </w:rPr>
      </w:pPr>
    </w:p>
    <w:p w14:paraId="1F1D7FE0" w14:textId="77777777" w:rsidR="009C05EA" w:rsidRPr="00853666" w:rsidRDefault="00F709E4">
      <w:pPr>
        <w:widowControl w:val="0"/>
        <w:jc w:val="both"/>
        <w:rPr>
          <w:rFonts w:ascii="Monsserrat" w:hAnsi="Monsserrat"/>
          <w:b/>
          <w:sz w:val="26"/>
          <w:szCs w:val="26"/>
        </w:rPr>
      </w:pPr>
      <w:r w:rsidRPr="00853666">
        <w:rPr>
          <w:rFonts w:ascii="Monsserrat" w:hAnsi="Monsserrat"/>
          <w:b/>
          <w:sz w:val="26"/>
          <w:szCs w:val="26"/>
        </w:rPr>
        <w:t>Nota 14</w:t>
      </w:r>
      <w:r w:rsidR="00B66A10" w:rsidRPr="00853666">
        <w:rPr>
          <w:rFonts w:ascii="Monsserrat" w:hAnsi="Monsserrat"/>
          <w:b/>
          <w:sz w:val="26"/>
          <w:szCs w:val="26"/>
        </w:rPr>
        <w:t>.-Resultados del Ejercicio (Ahorro / Desahorro)</w:t>
      </w:r>
    </w:p>
    <w:p w14:paraId="49BF6FB8" w14:textId="77777777" w:rsidR="009C05EA" w:rsidRPr="00853666" w:rsidRDefault="009C05EA">
      <w:pPr>
        <w:widowControl w:val="0"/>
        <w:jc w:val="both"/>
        <w:rPr>
          <w:rFonts w:ascii="Monsserrat" w:hAnsi="Monsserrat"/>
          <w:sz w:val="26"/>
          <w:szCs w:val="26"/>
        </w:rPr>
      </w:pPr>
    </w:p>
    <w:p w14:paraId="05507790" w14:textId="77777777" w:rsidR="009C05EA" w:rsidRPr="00853666" w:rsidRDefault="00B66A10">
      <w:pPr>
        <w:widowControl w:val="0"/>
        <w:jc w:val="both"/>
        <w:rPr>
          <w:rFonts w:ascii="Monsserrat" w:hAnsi="Monsserrat"/>
          <w:sz w:val="26"/>
          <w:szCs w:val="26"/>
        </w:rPr>
      </w:pPr>
      <w:r w:rsidRPr="00853666">
        <w:rPr>
          <w:rFonts w:ascii="Monsserrat" w:hAnsi="Monsserrat"/>
          <w:sz w:val="26"/>
          <w:szCs w:val="26"/>
        </w:rPr>
        <w:t xml:space="preserve">Este Estado financiero muestra dos agregados que corresponden a los entes públicos que conforman el Poder Ejecutivo, representados por los Ingresos y Otros Beneficios, así como los Gastos y Otras Perdidas, mostrando los conceptos </w:t>
      </w:r>
      <w:r w:rsidRPr="00853666">
        <w:rPr>
          <w:rFonts w:ascii="Monsserrat" w:hAnsi="Monsserrat"/>
          <w:sz w:val="26"/>
          <w:szCs w:val="26"/>
        </w:rPr>
        <w:lastRenderedPageBreak/>
        <w:t>del ingreso de acuerdo con la Ley de Ingresos y los Gastos con los conceptos del Clasificador por Objeto del Gasto, permitiendo determinar el resultado al cierre del periodo enero-junio de 2022 y 2021. Mismo que se muestra a continuación:</w:t>
      </w:r>
    </w:p>
    <w:p w14:paraId="7B077825" w14:textId="77777777" w:rsidR="009C05EA" w:rsidRPr="00853666" w:rsidRDefault="009C05EA">
      <w:pPr>
        <w:widowControl w:val="0"/>
        <w:jc w:val="both"/>
        <w:rPr>
          <w:rFonts w:ascii="Monsserrat" w:hAnsi="Monsserrat"/>
          <w:sz w:val="26"/>
          <w:szCs w:val="26"/>
        </w:rPr>
      </w:pPr>
    </w:p>
    <w:p w14:paraId="6899236B" w14:textId="77777777" w:rsidR="009C05EA" w:rsidRDefault="009C05EA">
      <w:pPr>
        <w:widowControl w:val="0"/>
        <w:jc w:val="both"/>
        <w:rPr>
          <w:rFonts w:ascii="Monsserrat" w:hAnsi="Monsserrat"/>
          <w:sz w:val="26"/>
          <w:szCs w:val="26"/>
        </w:rPr>
      </w:pPr>
    </w:p>
    <w:p w14:paraId="0BAA1CC2" w14:textId="77777777" w:rsidR="009C05EA" w:rsidRPr="00853666" w:rsidRDefault="00B66A10">
      <w:pPr>
        <w:widowControl w:val="0"/>
        <w:jc w:val="center"/>
        <w:rPr>
          <w:rFonts w:ascii="Monsserrat" w:hAnsi="Monsserrat"/>
          <w:sz w:val="26"/>
          <w:szCs w:val="26"/>
        </w:rPr>
      </w:pPr>
      <w:r w:rsidRPr="00853666">
        <w:rPr>
          <w:rFonts w:ascii="Monsserrat" w:hAnsi="Monsserrat"/>
          <w:b/>
          <w:sz w:val="26"/>
          <w:szCs w:val="26"/>
        </w:rPr>
        <w:t>(Pesos)</w:t>
      </w:r>
    </w:p>
    <w:tbl>
      <w:tblPr>
        <w:tblW w:w="9130" w:type="dxa"/>
        <w:tblInd w:w="55" w:type="dxa"/>
        <w:tblCellMar>
          <w:left w:w="70" w:type="dxa"/>
          <w:right w:w="70" w:type="dxa"/>
        </w:tblCellMar>
        <w:tblLook w:val="04A0" w:firstRow="1" w:lastRow="0" w:firstColumn="1" w:lastColumn="0" w:noHBand="0" w:noVBand="1"/>
      </w:tblPr>
      <w:tblGrid>
        <w:gridCol w:w="4762"/>
        <w:gridCol w:w="2381"/>
        <w:gridCol w:w="1987"/>
      </w:tblGrid>
      <w:tr w:rsidR="005B740F" w:rsidRPr="00853666" w14:paraId="5F3852E5" w14:textId="77777777" w:rsidTr="001B07C1">
        <w:trPr>
          <w:trHeight w:val="334"/>
        </w:trPr>
        <w:tc>
          <w:tcPr>
            <w:tcW w:w="4762"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181DE538"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81" w:type="dxa"/>
            <w:tcBorders>
              <w:top w:val="single" w:sz="8" w:space="0" w:color="auto"/>
              <w:left w:val="nil"/>
              <w:bottom w:val="single" w:sz="8" w:space="0" w:color="auto"/>
              <w:right w:val="single" w:sz="8" w:space="0" w:color="auto"/>
            </w:tcBorders>
            <w:shd w:val="clear" w:color="000000" w:fill="828282"/>
            <w:vAlign w:val="center"/>
            <w:hideMark/>
          </w:tcPr>
          <w:p w14:paraId="4DEF454C"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87" w:type="dxa"/>
            <w:tcBorders>
              <w:top w:val="single" w:sz="8" w:space="0" w:color="auto"/>
              <w:left w:val="nil"/>
              <w:bottom w:val="single" w:sz="8" w:space="0" w:color="auto"/>
              <w:right w:val="single" w:sz="8" w:space="0" w:color="auto"/>
            </w:tcBorders>
            <w:shd w:val="clear" w:color="000000" w:fill="828282"/>
            <w:vAlign w:val="center"/>
            <w:hideMark/>
          </w:tcPr>
          <w:p w14:paraId="6F425809"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4E3F1DE7" w14:textId="77777777" w:rsidTr="001B07C1">
        <w:trPr>
          <w:trHeight w:val="622"/>
        </w:trPr>
        <w:tc>
          <w:tcPr>
            <w:tcW w:w="4762" w:type="dxa"/>
            <w:tcBorders>
              <w:top w:val="nil"/>
              <w:left w:val="single" w:sz="8" w:space="0" w:color="auto"/>
              <w:bottom w:val="single" w:sz="8" w:space="0" w:color="auto"/>
              <w:right w:val="single" w:sz="8" w:space="0" w:color="auto"/>
            </w:tcBorders>
            <w:shd w:val="clear" w:color="000000" w:fill="FFFFFF"/>
            <w:vAlign w:val="center"/>
            <w:hideMark/>
          </w:tcPr>
          <w:p w14:paraId="0ED0FE53"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Resultados del Ejercicio (Ahorro / Desahorro)</w:t>
            </w:r>
          </w:p>
        </w:tc>
        <w:tc>
          <w:tcPr>
            <w:tcW w:w="2381" w:type="dxa"/>
            <w:tcBorders>
              <w:top w:val="nil"/>
              <w:left w:val="nil"/>
              <w:bottom w:val="single" w:sz="8" w:space="0" w:color="auto"/>
              <w:right w:val="single" w:sz="8" w:space="0" w:color="auto"/>
            </w:tcBorders>
            <w:shd w:val="clear" w:color="000000" w:fill="FFFFFF"/>
            <w:noWrap/>
            <w:vAlign w:val="center"/>
            <w:hideMark/>
          </w:tcPr>
          <w:p w14:paraId="02B9758C" w14:textId="77777777" w:rsidR="005B740F" w:rsidRPr="00853666" w:rsidRDefault="005B740F" w:rsidP="005B740F">
            <w:pPr>
              <w:jc w:val="right"/>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3,440,915,702</w:t>
            </w:r>
          </w:p>
        </w:tc>
        <w:tc>
          <w:tcPr>
            <w:tcW w:w="1987" w:type="dxa"/>
            <w:tcBorders>
              <w:top w:val="nil"/>
              <w:left w:val="nil"/>
              <w:bottom w:val="single" w:sz="8" w:space="0" w:color="auto"/>
              <w:right w:val="single" w:sz="8" w:space="0" w:color="auto"/>
            </w:tcBorders>
            <w:shd w:val="clear" w:color="000000" w:fill="FFFFFF"/>
            <w:noWrap/>
            <w:vAlign w:val="center"/>
            <w:hideMark/>
          </w:tcPr>
          <w:p w14:paraId="1FDF2299" w14:textId="77777777" w:rsidR="005B740F" w:rsidRPr="00853666" w:rsidRDefault="005B740F" w:rsidP="005B740F">
            <w:pPr>
              <w:jc w:val="right"/>
              <w:rPr>
                <w:rFonts w:ascii="Monsserrat" w:eastAsia="Times New Roman" w:hAnsi="Monsserrat" w:cs="Calibri"/>
                <w:color w:val="000000"/>
                <w:sz w:val="26"/>
                <w:szCs w:val="26"/>
                <w:lang w:val="es-MX"/>
              </w:rPr>
            </w:pPr>
            <w:bookmarkStart w:id="0" w:name="RANGE!C138"/>
            <w:r w:rsidRPr="00853666">
              <w:rPr>
                <w:rFonts w:ascii="Monsserrat" w:eastAsia="Times New Roman" w:hAnsi="Monsserrat" w:cs="Calibri"/>
                <w:color w:val="000000"/>
                <w:sz w:val="26"/>
                <w:szCs w:val="26"/>
                <w:lang w:val="es-MX"/>
              </w:rPr>
              <w:t>1,238,934,431</w:t>
            </w:r>
            <w:bookmarkEnd w:id="0"/>
          </w:p>
        </w:tc>
      </w:tr>
      <w:tr w:rsidR="005B740F" w:rsidRPr="00853666" w14:paraId="28CDAFC7" w14:textId="77777777" w:rsidTr="001B07C1">
        <w:trPr>
          <w:trHeight w:val="334"/>
        </w:trPr>
        <w:tc>
          <w:tcPr>
            <w:tcW w:w="4762" w:type="dxa"/>
            <w:tcBorders>
              <w:top w:val="nil"/>
              <w:left w:val="single" w:sz="8" w:space="0" w:color="auto"/>
              <w:bottom w:val="single" w:sz="8" w:space="0" w:color="auto"/>
              <w:right w:val="single" w:sz="8" w:space="0" w:color="auto"/>
            </w:tcBorders>
            <w:shd w:val="clear" w:color="000000" w:fill="FFFFFF"/>
            <w:noWrap/>
            <w:vAlign w:val="center"/>
            <w:hideMark/>
          </w:tcPr>
          <w:p w14:paraId="666AFAFC"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81" w:type="dxa"/>
            <w:tcBorders>
              <w:top w:val="nil"/>
              <w:left w:val="nil"/>
              <w:bottom w:val="single" w:sz="8" w:space="0" w:color="auto"/>
              <w:right w:val="single" w:sz="8" w:space="0" w:color="auto"/>
            </w:tcBorders>
            <w:shd w:val="clear" w:color="000000" w:fill="FFFFFF"/>
            <w:noWrap/>
            <w:vAlign w:val="center"/>
            <w:hideMark/>
          </w:tcPr>
          <w:p w14:paraId="312B8E1C"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3,440,915,702</w:t>
            </w:r>
          </w:p>
        </w:tc>
        <w:tc>
          <w:tcPr>
            <w:tcW w:w="1987" w:type="dxa"/>
            <w:tcBorders>
              <w:top w:val="nil"/>
              <w:left w:val="nil"/>
              <w:bottom w:val="single" w:sz="8" w:space="0" w:color="auto"/>
              <w:right w:val="single" w:sz="8" w:space="0" w:color="auto"/>
            </w:tcBorders>
            <w:shd w:val="clear" w:color="000000" w:fill="FFFFFF"/>
            <w:noWrap/>
            <w:vAlign w:val="center"/>
            <w:hideMark/>
          </w:tcPr>
          <w:p w14:paraId="6EF7859C"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1,238,934,431</w:t>
            </w:r>
          </w:p>
        </w:tc>
      </w:tr>
    </w:tbl>
    <w:p w14:paraId="75DD33BD" w14:textId="77777777" w:rsidR="009C05EA" w:rsidRPr="00853666" w:rsidRDefault="009C05EA">
      <w:pPr>
        <w:widowControl w:val="0"/>
        <w:jc w:val="both"/>
        <w:rPr>
          <w:rFonts w:ascii="Monsserrat" w:hAnsi="Monsserrat"/>
          <w:b/>
          <w:sz w:val="26"/>
          <w:szCs w:val="26"/>
        </w:rPr>
      </w:pPr>
    </w:p>
    <w:p w14:paraId="4216E0AE" w14:textId="77777777" w:rsidR="009C05EA" w:rsidRPr="00853666" w:rsidRDefault="009C05EA">
      <w:pPr>
        <w:widowControl w:val="0"/>
        <w:jc w:val="both"/>
        <w:rPr>
          <w:rFonts w:ascii="Monsserrat" w:hAnsi="Monsserrat"/>
          <w:b/>
          <w:sz w:val="26"/>
          <w:szCs w:val="26"/>
        </w:rPr>
      </w:pPr>
    </w:p>
    <w:p w14:paraId="02B65958" w14:textId="77777777" w:rsidR="009C05EA" w:rsidRPr="00853666" w:rsidRDefault="009C05EA">
      <w:pPr>
        <w:widowControl w:val="0"/>
        <w:jc w:val="both"/>
        <w:rPr>
          <w:rFonts w:ascii="Monsserrat" w:hAnsi="Monsserrat"/>
          <w:b/>
          <w:sz w:val="26"/>
          <w:szCs w:val="26"/>
        </w:rPr>
      </w:pPr>
    </w:p>
    <w:p w14:paraId="288E2830" w14:textId="77777777" w:rsidR="009C05EA" w:rsidRPr="00853666" w:rsidRDefault="00F709E4">
      <w:pPr>
        <w:widowControl w:val="0"/>
        <w:jc w:val="both"/>
        <w:rPr>
          <w:rFonts w:ascii="Monsserrat" w:hAnsi="Monsserrat"/>
          <w:b/>
          <w:sz w:val="26"/>
          <w:szCs w:val="26"/>
        </w:rPr>
      </w:pPr>
      <w:r w:rsidRPr="00853666">
        <w:rPr>
          <w:rFonts w:ascii="Monsserrat" w:hAnsi="Monsserrat"/>
          <w:b/>
          <w:sz w:val="26"/>
          <w:szCs w:val="26"/>
        </w:rPr>
        <w:t>Nota 15</w:t>
      </w:r>
      <w:r w:rsidR="00B66A10" w:rsidRPr="00853666">
        <w:rPr>
          <w:rFonts w:ascii="Monsserrat" w:hAnsi="Monsserrat"/>
          <w:b/>
          <w:sz w:val="26"/>
          <w:szCs w:val="26"/>
        </w:rPr>
        <w:t>.- Al Estado de Flujos de Efectivo.</w:t>
      </w:r>
    </w:p>
    <w:p w14:paraId="70A87B26" w14:textId="77777777" w:rsidR="009C05EA" w:rsidRPr="00853666" w:rsidRDefault="009C05EA">
      <w:pPr>
        <w:widowControl w:val="0"/>
        <w:jc w:val="both"/>
        <w:rPr>
          <w:rFonts w:ascii="Monsserrat" w:hAnsi="Monsserrat"/>
          <w:sz w:val="26"/>
          <w:szCs w:val="26"/>
        </w:rPr>
      </w:pPr>
    </w:p>
    <w:p w14:paraId="0A895D1D" w14:textId="77777777" w:rsidR="009C05EA" w:rsidRPr="00853666" w:rsidRDefault="009C05EA">
      <w:pPr>
        <w:widowControl w:val="0"/>
        <w:jc w:val="both"/>
        <w:rPr>
          <w:rFonts w:ascii="Monsserrat" w:hAnsi="Monsserrat"/>
          <w:sz w:val="26"/>
          <w:szCs w:val="26"/>
        </w:rPr>
      </w:pPr>
    </w:p>
    <w:p w14:paraId="52C5E233" w14:textId="77777777" w:rsidR="009C05EA" w:rsidRPr="00853666" w:rsidRDefault="00B66A10">
      <w:pPr>
        <w:widowControl w:val="0"/>
        <w:jc w:val="both"/>
        <w:rPr>
          <w:rFonts w:ascii="Monsserrat" w:hAnsi="Monsserrat"/>
          <w:sz w:val="26"/>
          <w:szCs w:val="26"/>
        </w:rPr>
      </w:pPr>
      <w:r w:rsidRPr="00853666">
        <w:rPr>
          <w:rFonts w:ascii="Monsserrat" w:hAnsi="Monsserrat"/>
          <w:sz w:val="26"/>
          <w:szCs w:val="26"/>
        </w:rPr>
        <w:t>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al cierre del periodo enero-junio de 2022 y 2021, mostrado de la siguiente manera:</w:t>
      </w:r>
    </w:p>
    <w:p w14:paraId="0C838F01" w14:textId="77777777" w:rsidR="009C05EA" w:rsidRPr="00853666" w:rsidRDefault="009C05EA">
      <w:pPr>
        <w:widowControl w:val="0"/>
        <w:jc w:val="both"/>
        <w:rPr>
          <w:rFonts w:ascii="Monsserrat" w:hAnsi="Monsserrat"/>
          <w:sz w:val="26"/>
          <w:szCs w:val="26"/>
        </w:rPr>
      </w:pPr>
    </w:p>
    <w:p w14:paraId="2E11CFFD" w14:textId="77777777" w:rsidR="009C05EA" w:rsidRPr="00853666" w:rsidRDefault="009C05EA">
      <w:pPr>
        <w:widowControl w:val="0"/>
        <w:jc w:val="both"/>
        <w:rPr>
          <w:rFonts w:ascii="Monsserrat" w:hAnsi="Monsserrat"/>
          <w:sz w:val="26"/>
          <w:szCs w:val="26"/>
        </w:rPr>
      </w:pPr>
    </w:p>
    <w:p w14:paraId="7C64E058" w14:textId="77777777" w:rsidR="009C05EA" w:rsidRPr="00853666" w:rsidRDefault="00B66A10">
      <w:pPr>
        <w:pBdr>
          <w:top w:val="nil"/>
          <w:left w:val="nil"/>
          <w:bottom w:val="nil"/>
          <w:right w:val="nil"/>
          <w:between w:val="nil"/>
        </w:pBdr>
        <w:jc w:val="center"/>
        <w:rPr>
          <w:rFonts w:ascii="Monsserrat" w:hAnsi="Monsserrat"/>
          <w:b/>
          <w:sz w:val="26"/>
          <w:szCs w:val="26"/>
        </w:rPr>
      </w:pPr>
      <w:r w:rsidRPr="00853666">
        <w:rPr>
          <w:rFonts w:ascii="Monsserrat" w:hAnsi="Monsserrat"/>
          <w:b/>
          <w:sz w:val="26"/>
          <w:szCs w:val="26"/>
        </w:rPr>
        <w:t>(Pesos)</w:t>
      </w:r>
    </w:p>
    <w:tbl>
      <w:tblPr>
        <w:tblW w:w="9010" w:type="dxa"/>
        <w:tblInd w:w="55" w:type="dxa"/>
        <w:tblCellMar>
          <w:left w:w="70" w:type="dxa"/>
          <w:right w:w="70" w:type="dxa"/>
        </w:tblCellMar>
        <w:tblLook w:val="04A0" w:firstRow="1" w:lastRow="0" w:firstColumn="1" w:lastColumn="0" w:noHBand="0" w:noVBand="1"/>
      </w:tblPr>
      <w:tblGrid>
        <w:gridCol w:w="4699"/>
        <w:gridCol w:w="2350"/>
        <w:gridCol w:w="1961"/>
      </w:tblGrid>
      <w:tr w:rsidR="005B740F" w:rsidRPr="00853666" w14:paraId="3673E002" w14:textId="77777777" w:rsidTr="001B07C1">
        <w:trPr>
          <w:trHeight w:val="330"/>
        </w:trPr>
        <w:tc>
          <w:tcPr>
            <w:tcW w:w="4699" w:type="dxa"/>
            <w:tcBorders>
              <w:top w:val="single" w:sz="8" w:space="0" w:color="auto"/>
              <w:left w:val="single" w:sz="8" w:space="0" w:color="auto"/>
              <w:bottom w:val="single" w:sz="8" w:space="0" w:color="auto"/>
              <w:right w:val="single" w:sz="8" w:space="0" w:color="auto"/>
            </w:tcBorders>
            <w:shd w:val="clear" w:color="000000" w:fill="828282"/>
            <w:vAlign w:val="center"/>
            <w:hideMark/>
          </w:tcPr>
          <w:p w14:paraId="44FF7C17"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Concepto</w:t>
            </w:r>
          </w:p>
        </w:tc>
        <w:tc>
          <w:tcPr>
            <w:tcW w:w="2350" w:type="dxa"/>
            <w:tcBorders>
              <w:top w:val="single" w:sz="8" w:space="0" w:color="auto"/>
              <w:left w:val="nil"/>
              <w:bottom w:val="single" w:sz="8" w:space="0" w:color="auto"/>
              <w:right w:val="single" w:sz="8" w:space="0" w:color="auto"/>
            </w:tcBorders>
            <w:shd w:val="clear" w:color="000000" w:fill="828282"/>
            <w:vAlign w:val="center"/>
            <w:hideMark/>
          </w:tcPr>
          <w:p w14:paraId="18485C65"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2022</w:t>
            </w:r>
          </w:p>
        </w:tc>
        <w:tc>
          <w:tcPr>
            <w:tcW w:w="1961" w:type="dxa"/>
            <w:tcBorders>
              <w:top w:val="single" w:sz="8" w:space="0" w:color="auto"/>
              <w:left w:val="nil"/>
              <w:bottom w:val="single" w:sz="8" w:space="0" w:color="auto"/>
              <w:right w:val="single" w:sz="8" w:space="0" w:color="auto"/>
            </w:tcBorders>
            <w:shd w:val="clear" w:color="000000" w:fill="828282"/>
            <w:vAlign w:val="center"/>
            <w:hideMark/>
          </w:tcPr>
          <w:p w14:paraId="2B0D4098" w14:textId="77777777" w:rsidR="005B740F" w:rsidRPr="00853666" w:rsidRDefault="005B740F" w:rsidP="005B740F">
            <w:pPr>
              <w:jc w:val="center"/>
              <w:rPr>
                <w:rFonts w:ascii="Monsserrat" w:eastAsia="Times New Roman" w:hAnsi="Monsserrat" w:cs="Calibri"/>
                <w:b/>
                <w:bCs/>
                <w:color w:val="FFFFFF"/>
                <w:sz w:val="26"/>
                <w:szCs w:val="26"/>
                <w:lang w:val="es-MX"/>
              </w:rPr>
            </w:pPr>
            <w:r w:rsidRPr="00853666">
              <w:rPr>
                <w:rFonts w:ascii="Monsserrat" w:eastAsia="Times New Roman" w:hAnsi="Monsserrat" w:cs="Calibri"/>
                <w:b/>
                <w:bCs/>
                <w:color w:val="FFFFFF"/>
                <w:sz w:val="26"/>
                <w:szCs w:val="26"/>
                <w:lang w:val="es-MX"/>
              </w:rPr>
              <w:t>2021</w:t>
            </w:r>
          </w:p>
        </w:tc>
      </w:tr>
      <w:tr w:rsidR="005B740F" w:rsidRPr="00853666" w14:paraId="69104DC7" w14:textId="77777777" w:rsidTr="001B07C1">
        <w:trPr>
          <w:trHeight w:val="675"/>
        </w:trPr>
        <w:tc>
          <w:tcPr>
            <w:tcW w:w="4699" w:type="dxa"/>
            <w:tcBorders>
              <w:top w:val="nil"/>
              <w:left w:val="single" w:sz="8" w:space="0" w:color="auto"/>
              <w:bottom w:val="single" w:sz="8" w:space="0" w:color="auto"/>
              <w:right w:val="single" w:sz="8" w:space="0" w:color="auto"/>
            </w:tcBorders>
            <w:shd w:val="clear" w:color="000000" w:fill="FFFFFF"/>
            <w:noWrap/>
            <w:vAlign w:val="center"/>
            <w:hideMark/>
          </w:tcPr>
          <w:p w14:paraId="16658FEF" w14:textId="77777777" w:rsidR="005B740F" w:rsidRPr="00853666" w:rsidRDefault="005B740F" w:rsidP="005B740F">
            <w:pPr>
              <w:jc w:val="both"/>
              <w:rPr>
                <w:rFonts w:ascii="Monsserrat" w:eastAsia="Times New Roman" w:hAnsi="Monsserrat" w:cs="Calibri"/>
                <w:color w:val="000000"/>
                <w:sz w:val="26"/>
                <w:szCs w:val="26"/>
                <w:lang w:val="es-MX"/>
              </w:rPr>
            </w:pPr>
            <w:r w:rsidRPr="00853666">
              <w:rPr>
                <w:rFonts w:ascii="Monsserrat" w:eastAsia="Times New Roman" w:hAnsi="Monsserrat" w:cs="Calibri"/>
                <w:color w:val="000000"/>
                <w:sz w:val="26"/>
                <w:szCs w:val="26"/>
                <w:lang w:val="es-MX"/>
              </w:rPr>
              <w:t>Efectivo y Equivalentes al Final del Periodo</w:t>
            </w:r>
          </w:p>
        </w:tc>
        <w:tc>
          <w:tcPr>
            <w:tcW w:w="2350" w:type="dxa"/>
            <w:tcBorders>
              <w:top w:val="nil"/>
              <w:left w:val="nil"/>
              <w:bottom w:val="single" w:sz="8" w:space="0" w:color="auto"/>
              <w:right w:val="single" w:sz="8" w:space="0" w:color="auto"/>
            </w:tcBorders>
            <w:shd w:val="clear" w:color="000000" w:fill="FFFFFF"/>
            <w:vAlign w:val="center"/>
            <w:hideMark/>
          </w:tcPr>
          <w:p w14:paraId="514F8A2E" w14:textId="77777777" w:rsidR="005B740F" w:rsidRPr="00853666" w:rsidRDefault="005B740F" w:rsidP="005B740F">
            <w:pPr>
              <w:jc w:val="right"/>
              <w:rPr>
                <w:rFonts w:ascii="Monsserrat" w:eastAsia="Times New Roman" w:hAnsi="Monsserrat" w:cs="Calibri"/>
                <w:color w:val="000000"/>
                <w:sz w:val="26"/>
                <w:szCs w:val="26"/>
                <w:lang w:val="es-MX"/>
              </w:rPr>
            </w:pPr>
            <w:bookmarkStart w:id="1" w:name="RANGE!B146"/>
            <w:r w:rsidRPr="00853666">
              <w:rPr>
                <w:rFonts w:ascii="Monsserrat" w:eastAsia="Times New Roman" w:hAnsi="Monsserrat" w:cs="Calibri"/>
                <w:color w:val="000000"/>
                <w:sz w:val="26"/>
                <w:szCs w:val="26"/>
                <w:lang w:val="es-MX"/>
              </w:rPr>
              <w:t>6,371,940,799</w:t>
            </w:r>
            <w:bookmarkEnd w:id="1"/>
          </w:p>
        </w:tc>
        <w:tc>
          <w:tcPr>
            <w:tcW w:w="1961" w:type="dxa"/>
            <w:tcBorders>
              <w:top w:val="nil"/>
              <w:left w:val="nil"/>
              <w:bottom w:val="single" w:sz="8" w:space="0" w:color="auto"/>
              <w:right w:val="single" w:sz="8" w:space="0" w:color="auto"/>
            </w:tcBorders>
            <w:shd w:val="clear" w:color="000000" w:fill="FFFFFF"/>
            <w:vAlign w:val="center"/>
            <w:hideMark/>
          </w:tcPr>
          <w:p w14:paraId="7374F60D" w14:textId="77777777" w:rsidR="005B740F" w:rsidRPr="00853666" w:rsidRDefault="005B740F" w:rsidP="005B740F">
            <w:pPr>
              <w:jc w:val="right"/>
              <w:rPr>
                <w:rFonts w:ascii="Monsserrat" w:eastAsia="Times New Roman" w:hAnsi="Monsserrat" w:cs="Calibri"/>
                <w:color w:val="000000"/>
                <w:sz w:val="26"/>
                <w:szCs w:val="26"/>
                <w:lang w:val="es-MX"/>
              </w:rPr>
            </w:pPr>
            <w:bookmarkStart w:id="2" w:name="RANGE!C146"/>
            <w:r w:rsidRPr="00853666">
              <w:rPr>
                <w:rFonts w:ascii="Monsserrat" w:eastAsia="Times New Roman" w:hAnsi="Monsserrat" w:cs="Calibri"/>
                <w:color w:val="000000"/>
                <w:sz w:val="26"/>
                <w:szCs w:val="26"/>
                <w:lang w:val="es-MX"/>
              </w:rPr>
              <w:t>4,500,230,665</w:t>
            </w:r>
            <w:bookmarkEnd w:id="2"/>
          </w:p>
        </w:tc>
      </w:tr>
      <w:tr w:rsidR="005B740F" w:rsidRPr="00853666" w14:paraId="303EB5E4" w14:textId="77777777" w:rsidTr="001B07C1">
        <w:trPr>
          <w:trHeight w:val="330"/>
        </w:trPr>
        <w:tc>
          <w:tcPr>
            <w:tcW w:w="4699" w:type="dxa"/>
            <w:tcBorders>
              <w:top w:val="nil"/>
              <w:left w:val="single" w:sz="8" w:space="0" w:color="auto"/>
              <w:bottom w:val="single" w:sz="8" w:space="0" w:color="auto"/>
              <w:right w:val="single" w:sz="8" w:space="0" w:color="auto"/>
            </w:tcBorders>
            <w:shd w:val="clear" w:color="000000" w:fill="FFFFFF"/>
            <w:noWrap/>
            <w:vAlign w:val="center"/>
            <w:hideMark/>
          </w:tcPr>
          <w:p w14:paraId="3184AB47"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Suma</w:t>
            </w:r>
          </w:p>
        </w:tc>
        <w:tc>
          <w:tcPr>
            <w:tcW w:w="2350" w:type="dxa"/>
            <w:tcBorders>
              <w:top w:val="nil"/>
              <w:left w:val="nil"/>
              <w:bottom w:val="single" w:sz="8" w:space="0" w:color="auto"/>
              <w:right w:val="single" w:sz="8" w:space="0" w:color="auto"/>
            </w:tcBorders>
            <w:shd w:val="clear" w:color="000000" w:fill="FFFFFF"/>
            <w:noWrap/>
            <w:vAlign w:val="center"/>
            <w:hideMark/>
          </w:tcPr>
          <w:p w14:paraId="49AB906B"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6,371,940,799</w:t>
            </w:r>
          </w:p>
        </w:tc>
        <w:tc>
          <w:tcPr>
            <w:tcW w:w="1961" w:type="dxa"/>
            <w:tcBorders>
              <w:top w:val="nil"/>
              <w:left w:val="nil"/>
              <w:bottom w:val="single" w:sz="8" w:space="0" w:color="auto"/>
              <w:right w:val="single" w:sz="8" w:space="0" w:color="auto"/>
            </w:tcBorders>
            <w:shd w:val="clear" w:color="000000" w:fill="FFFFFF"/>
            <w:noWrap/>
            <w:vAlign w:val="center"/>
            <w:hideMark/>
          </w:tcPr>
          <w:p w14:paraId="55D0399A" w14:textId="77777777" w:rsidR="005B740F" w:rsidRPr="00853666" w:rsidRDefault="005B740F" w:rsidP="005B740F">
            <w:pPr>
              <w:jc w:val="right"/>
              <w:rPr>
                <w:rFonts w:ascii="Monsserrat" w:eastAsia="Times New Roman" w:hAnsi="Monsserrat" w:cs="Calibri"/>
                <w:b/>
                <w:bCs/>
                <w:color w:val="000000"/>
                <w:sz w:val="26"/>
                <w:szCs w:val="26"/>
                <w:lang w:val="es-MX"/>
              </w:rPr>
            </w:pPr>
            <w:r w:rsidRPr="00853666">
              <w:rPr>
                <w:rFonts w:ascii="Monsserrat" w:eastAsia="Times New Roman" w:hAnsi="Monsserrat" w:cs="Calibri"/>
                <w:b/>
                <w:bCs/>
                <w:color w:val="000000"/>
                <w:sz w:val="26"/>
                <w:szCs w:val="26"/>
                <w:lang w:val="es-MX"/>
              </w:rPr>
              <w:t>4,500,230,665</w:t>
            </w:r>
          </w:p>
        </w:tc>
      </w:tr>
    </w:tbl>
    <w:p w14:paraId="70D4C9B6" w14:textId="77777777" w:rsidR="00D06175" w:rsidRPr="00853666" w:rsidRDefault="00D06175" w:rsidP="00FD3EAB">
      <w:pPr>
        <w:jc w:val="center"/>
        <w:rPr>
          <w:rFonts w:ascii="Monsserrat" w:hAnsi="Monsserrat"/>
          <w:b/>
          <w:i/>
          <w:sz w:val="26"/>
          <w:szCs w:val="26"/>
        </w:rPr>
      </w:pPr>
    </w:p>
    <w:p w14:paraId="2E4B3BD0" w14:textId="77777777" w:rsidR="00A63762" w:rsidRPr="00853666" w:rsidRDefault="00A63762" w:rsidP="00FD3EAB">
      <w:pPr>
        <w:jc w:val="center"/>
        <w:rPr>
          <w:rFonts w:ascii="Monsserrat" w:hAnsi="Monsserrat"/>
          <w:b/>
          <w:i/>
          <w:sz w:val="26"/>
          <w:szCs w:val="26"/>
        </w:rPr>
      </w:pPr>
    </w:p>
    <w:p w14:paraId="1742553C" w14:textId="77777777" w:rsidR="00A63762" w:rsidRPr="00853666" w:rsidRDefault="00A63762" w:rsidP="00FD3EAB">
      <w:pPr>
        <w:jc w:val="center"/>
        <w:rPr>
          <w:rFonts w:ascii="Monsserrat" w:hAnsi="Monsserrat"/>
          <w:b/>
          <w:i/>
          <w:sz w:val="26"/>
          <w:szCs w:val="26"/>
        </w:rPr>
      </w:pPr>
    </w:p>
    <w:p w14:paraId="66CC9AE3" w14:textId="77777777" w:rsidR="00A63762" w:rsidRPr="00853666" w:rsidRDefault="00A63762" w:rsidP="00FD3EAB">
      <w:pPr>
        <w:jc w:val="center"/>
        <w:rPr>
          <w:rFonts w:ascii="Monsserrat" w:hAnsi="Monsserrat"/>
          <w:b/>
          <w:i/>
          <w:sz w:val="26"/>
          <w:szCs w:val="26"/>
        </w:rPr>
      </w:pPr>
    </w:p>
    <w:p w14:paraId="525EEA3A" w14:textId="77777777" w:rsidR="00A63762" w:rsidRPr="00853666" w:rsidRDefault="00A63762" w:rsidP="00FD3EAB">
      <w:pPr>
        <w:jc w:val="center"/>
        <w:rPr>
          <w:rFonts w:ascii="Monsserrat" w:hAnsi="Monsserrat"/>
          <w:b/>
          <w:i/>
          <w:sz w:val="26"/>
          <w:szCs w:val="26"/>
        </w:rPr>
      </w:pPr>
    </w:p>
    <w:p w14:paraId="1E4CA543" w14:textId="77777777" w:rsidR="00A63762" w:rsidRPr="00853666" w:rsidRDefault="00A63762" w:rsidP="00FD3EAB">
      <w:pPr>
        <w:jc w:val="center"/>
        <w:rPr>
          <w:rFonts w:ascii="Monsserrat" w:hAnsi="Monsserrat"/>
          <w:b/>
          <w:i/>
          <w:sz w:val="26"/>
          <w:szCs w:val="26"/>
        </w:rPr>
      </w:pPr>
    </w:p>
    <w:p w14:paraId="7D6CCE48" w14:textId="77777777" w:rsidR="00A63762" w:rsidRPr="00853666" w:rsidRDefault="00A63762" w:rsidP="00FD3EAB">
      <w:pPr>
        <w:jc w:val="center"/>
        <w:rPr>
          <w:rFonts w:ascii="Monsserrat" w:hAnsi="Monsserrat"/>
          <w:b/>
          <w:i/>
          <w:sz w:val="26"/>
          <w:szCs w:val="26"/>
        </w:rPr>
      </w:pPr>
    </w:p>
    <w:p w14:paraId="5232A348" w14:textId="77777777" w:rsidR="00A63762" w:rsidRPr="00853666" w:rsidRDefault="00A63762" w:rsidP="00FD3EAB">
      <w:pPr>
        <w:jc w:val="center"/>
        <w:rPr>
          <w:rFonts w:ascii="Monsserrat" w:hAnsi="Monsserrat"/>
          <w:b/>
          <w:i/>
          <w:sz w:val="26"/>
          <w:szCs w:val="26"/>
        </w:rPr>
      </w:pPr>
    </w:p>
    <w:p w14:paraId="17B45006" w14:textId="77777777" w:rsidR="00A63762" w:rsidRPr="00853666" w:rsidRDefault="00A63762" w:rsidP="00FD3EAB">
      <w:pPr>
        <w:jc w:val="center"/>
        <w:rPr>
          <w:rFonts w:ascii="Monsserrat" w:hAnsi="Monsserrat"/>
          <w:b/>
          <w:i/>
          <w:sz w:val="26"/>
          <w:szCs w:val="26"/>
        </w:rPr>
      </w:pPr>
    </w:p>
    <w:p w14:paraId="7B6EAB13" w14:textId="77777777" w:rsidR="00FD3EAB" w:rsidRPr="00853666" w:rsidRDefault="00FD3EAB" w:rsidP="00FD3EAB">
      <w:pPr>
        <w:jc w:val="center"/>
        <w:rPr>
          <w:rFonts w:ascii="Monsserrat" w:hAnsi="Monsserrat"/>
          <w:b/>
          <w:i/>
          <w:sz w:val="26"/>
          <w:szCs w:val="26"/>
        </w:rPr>
      </w:pPr>
      <w:r w:rsidRPr="00853666">
        <w:rPr>
          <w:rFonts w:ascii="Monsserrat" w:hAnsi="Monsserrat"/>
          <w:b/>
          <w:i/>
          <w:sz w:val="26"/>
          <w:szCs w:val="26"/>
        </w:rPr>
        <w:t>NOTAS DE MEMORIA</w:t>
      </w:r>
    </w:p>
    <w:p w14:paraId="5FA6013F" w14:textId="77777777" w:rsidR="00FD3EAB" w:rsidRPr="00853666" w:rsidRDefault="00FD3EAB" w:rsidP="00FD3EAB">
      <w:pPr>
        <w:rPr>
          <w:rFonts w:ascii="Monsserrat" w:hAnsi="Monsserrat"/>
          <w:b/>
          <w:i/>
          <w:sz w:val="26"/>
          <w:szCs w:val="26"/>
        </w:rPr>
      </w:pPr>
    </w:p>
    <w:p w14:paraId="7E8AA5C6" w14:textId="77777777" w:rsidR="00FD3EAB" w:rsidRPr="00853666" w:rsidRDefault="00FD3EAB" w:rsidP="00FD3EAB">
      <w:pPr>
        <w:spacing w:before="280" w:after="280"/>
        <w:jc w:val="both"/>
        <w:rPr>
          <w:rFonts w:ascii="Monsserrat" w:hAnsi="Monsserrat"/>
          <w:sz w:val="26"/>
          <w:szCs w:val="26"/>
        </w:rPr>
      </w:pPr>
      <w:r w:rsidRPr="00853666">
        <w:rPr>
          <w:rFonts w:ascii="Monsserrat" w:hAnsi="Monsserrat"/>
          <w:sz w:val="26"/>
          <w:szCs w:val="26"/>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28069F9B" w14:textId="77777777" w:rsidR="00FD3EAB" w:rsidRPr="00853666" w:rsidRDefault="00FD3EAB" w:rsidP="00FD3EAB">
      <w:pPr>
        <w:spacing w:before="280" w:after="280"/>
        <w:jc w:val="both"/>
        <w:rPr>
          <w:rFonts w:ascii="Monsserrat" w:hAnsi="Monsserrat"/>
          <w:b/>
          <w:sz w:val="26"/>
          <w:szCs w:val="26"/>
        </w:rPr>
      </w:pPr>
      <w:r w:rsidRPr="00853666">
        <w:rPr>
          <w:rFonts w:ascii="Monsserrat" w:hAnsi="Monsserrat"/>
          <w:b/>
          <w:sz w:val="26"/>
          <w:szCs w:val="26"/>
        </w:rPr>
        <w:t>Deuda Pública Municipal</w:t>
      </w:r>
    </w:p>
    <w:p w14:paraId="2125CEC2" w14:textId="728C9FFD" w:rsidR="00FD3EAB" w:rsidRPr="00853666" w:rsidRDefault="00FD3EAB" w:rsidP="00FD3EAB">
      <w:pPr>
        <w:spacing w:before="280" w:after="280"/>
        <w:jc w:val="both"/>
        <w:rPr>
          <w:rFonts w:ascii="Monsserrat" w:hAnsi="Monsserrat"/>
          <w:sz w:val="26"/>
          <w:szCs w:val="26"/>
        </w:rPr>
      </w:pPr>
      <w:r w:rsidRPr="00853666">
        <w:rPr>
          <w:rFonts w:ascii="Monsserrat" w:hAnsi="Monsserrat"/>
          <w:sz w:val="26"/>
          <w:szCs w:val="26"/>
        </w:rPr>
        <w:t>Los Municipios al 3</w:t>
      </w:r>
      <w:r w:rsidR="00AC0D24" w:rsidRPr="00853666">
        <w:rPr>
          <w:rFonts w:ascii="Monsserrat" w:hAnsi="Monsserrat"/>
          <w:sz w:val="26"/>
          <w:szCs w:val="26"/>
        </w:rPr>
        <w:t>0</w:t>
      </w:r>
      <w:r w:rsidRPr="00853666">
        <w:rPr>
          <w:rFonts w:ascii="Monsserrat" w:hAnsi="Monsserrat"/>
          <w:sz w:val="26"/>
          <w:szCs w:val="26"/>
        </w:rPr>
        <w:t xml:space="preserve"> de junio de los presentes presentan un saldo de $ 14, 327,401.22 (Catorce millones trescientos veinte mil cuatrocientos </w:t>
      </w:r>
      <w:proofErr w:type="gramStart"/>
      <w:r w:rsidRPr="00853666">
        <w:rPr>
          <w:rFonts w:ascii="Monsserrat" w:hAnsi="Monsserrat"/>
          <w:sz w:val="26"/>
          <w:szCs w:val="26"/>
        </w:rPr>
        <w:t>un pesos</w:t>
      </w:r>
      <w:proofErr w:type="gramEnd"/>
      <w:r w:rsidRPr="00853666">
        <w:rPr>
          <w:rFonts w:ascii="Monsserrat" w:hAnsi="Monsserrat"/>
          <w:sz w:val="26"/>
          <w:szCs w:val="26"/>
        </w:rPr>
        <w:t xml:space="preserve"> 22/100 m.n.) por concepto de deuda pública.</w:t>
      </w:r>
    </w:p>
    <w:p w14:paraId="4279ACF6" w14:textId="77777777" w:rsidR="00FD3EAB" w:rsidRPr="00853666" w:rsidRDefault="00FD3EAB" w:rsidP="00FD3EAB">
      <w:pPr>
        <w:jc w:val="both"/>
        <w:rPr>
          <w:rFonts w:ascii="Monsserrat" w:hAnsi="Monsserrat"/>
          <w:b/>
          <w:sz w:val="26"/>
          <w:szCs w:val="26"/>
        </w:rPr>
      </w:pPr>
      <w:r w:rsidRPr="00853666">
        <w:rPr>
          <w:rFonts w:ascii="Monsserrat" w:hAnsi="Monsserrat"/>
          <w:b/>
          <w:sz w:val="26"/>
          <w:szCs w:val="26"/>
        </w:rPr>
        <w:t>Créditos Bonos Cupón Cero.</w:t>
      </w:r>
    </w:p>
    <w:p w14:paraId="50ED33F4" w14:textId="77777777" w:rsidR="00FD3EAB" w:rsidRPr="00853666" w:rsidRDefault="00FD3EAB" w:rsidP="00FD3EAB">
      <w:pPr>
        <w:ind w:left="142"/>
        <w:jc w:val="both"/>
        <w:rPr>
          <w:rFonts w:ascii="Monsserrat" w:hAnsi="Monsserrat"/>
          <w:b/>
          <w:sz w:val="26"/>
          <w:szCs w:val="26"/>
        </w:rPr>
      </w:pPr>
    </w:p>
    <w:p w14:paraId="36EF08A2" w14:textId="77777777" w:rsidR="00FD3EAB" w:rsidRPr="00853666" w:rsidRDefault="00FD3EAB" w:rsidP="00FD3EAB">
      <w:pPr>
        <w:jc w:val="both"/>
        <w:rPr>
          <w:rFonts w:ascii="Monsserrat" w:hAnsi="Monsserrat"/>
          <w:sz w:val="26"/>
          <w:szCs w:val="26"/>
        </w:rPr>
      </w:pPr>
      <w:r w:rsidRPr="00853666">
        <w:rPr>
          <w:rFonts w:ascii="Monsserrat" w:hAnsi="Monsserrat"/>
          <w:sz w:val="26"/>
          <w:szCs w:val="26"/>
        </w:rPr>
        <w:t>Se consideran en esta clasificación los créditos contratados  derivados del Fondo de Reconstrucción para Entidades Federativas (</w:t>
      </w:r>
      <w:proofErr w:type="spellStart"/>
      <w:r w:rsidRPr="00853666">
        <w:rPr>
          <w:rFonts w:ascii="Monsserrat" w:hAnsi="Monsserrat"/>
          <w:sz w:val="26"/>
          <w:szCs w:val="26"/>
        </w:rPr>
        <w:t>FONREC</w:t>
      </w:r>
      <w:proofErr w:type="spellEnd"/>
      <w:r w:rsidRPr="00853666">
        <w:rPr>
          <w:rFonts w:ascii="Monsserrat" w:hAnsi="Monsserrat"/>
          <w:sz w:val="26"/>
          <w:szCs w:val="26"/>
        </w:rPr>
        <w:t xml:space="preserve"> IV) ,  el Fondo de Apoyo para Infraestructura y Seguridad (</w:t>
      </w:r>
      <w:proofErr w:type="spellStart"/>
      <w:r w:rsidRPr="00853666">
        <w:rPr>
          <w:rFonts w:ascii="Monsserrat" w:hAnsi="Monsserrat"/>
          <w:sz w:val="26"/>
          <w:szCs w:val="26"/>
        </w:rPr>
        <w:t>PROFISE</w:t>
      </w:r>
      <w:proofErr w:type="spellEnd"/>
      <w:r w:rsidRPr="00853666">
        <w:rPr>
          <w:rFonts w:ascii="Monsserrat" w:hAnsi="Monsserrat"/>
          <w:sz w:val="26"/>
          <w:szCs w:val="26"/>
        </w:rPr>
        <w:t xml:space="preserve">) y el Fondo para la  Implementación del Sistema de Justicia Penal  de las Entidades Federativas, que se destinaron para atender los desastres naturales y el desarrollo de la infraestructura de seguridad pública respectivamente,  propuesto y aprobado por el Gobierno Federal, a finales del año 2010, donde se abrieron  líneas de crédito a través del Banco Nacional de Obras y Servicios Públicos (BANOBRAS) con beneficios como el manejo de un bono cupón cero sin pago de capital, solo el pago de intereses por parte de los estados beneficiados, y con un plazo de 20 años. </w:t>
      </w:r>
    </w:p>
    <w:p w14:paraId="0B2B0566" w14:textId="77777777" w:rsidR="00FD3EAB" w:rsidRPr="00853666" w:rsidRDefault="00FD3EAB" w:rsidP="00FD3EAB">
      <w:pPr>
        <w:jc w:val="both"/>
        <w:rPr>
          <w:rFonts w:ascii="Monsserrat" w:hAnsi="Monsserrat"/>
          <w:sz w:val="26"/>
          <w:szCs w:val="26"/>
        </w:rPr>
      </w:pPr>
      <w:r w:rsidRPr="00853666">
        <w:rPr>
          <w:rFonts w:ascii="Monsserrat" w:hAnsi="Monsserrat"/>
          <w:sz w:val="26"/>
          <w:szCs w:val="26"/>
        </w:rPr>
        <w:t>Es importante destacar, que para efectos informativos y de control el saldo de esta obligación se refleja en cuentas contables de orden.</w:t>
      </w:r>
    </w:p>
    <w:p w14:paraId="0C7AC5AB" w14:textId="77777777" w:rsidR="00FD3EAB" w:rsidRPr="00853666" w:rsidRDefault="00FD3EAB" w:rsidP="00FD3EAB">
      <w:pPr>
        <w:ind w:left="142"/>
        <w:jc w:val="both"/>
        <w:rPr>
          <w:rFonts w:ascii="Monsserrat" w:hAnsi="Monsserrat"/>
          <w:sz w:val="26"/>
          <w:szCs w:val="26"/>
        </w:rPr>
      </w:pPr>
    </w:p>
    <w:p w14:paraId="5CFDD9A8" w14:textId="77777777" w:rsidR="00FD3EAB" w:rsidRPr="00853666" w:rsidRDefault="00FD3EAB" w:rsidP="00FD3EAB">
      <w:pPr>
        <w:jc w:val="both"/>
        <w:rPr>
          <w:rFonts w:ascii="Monsserrat" w:hAnsi="Monsserrat"/>
          <w:b/>
          <w:sz w:val="26"/>
          <w:szCs w:val="26"/>
        </w:rPr>
      </w:pPr>
      <w:r w:rsidRPr="00853666">
        <w:rPr>
          <w:rFonts w:ascii="Monsserrat" w:hAnsi="Monsserrat"/>
          <w:b/>
          <w:sz w:val="26"/>
          <w:szCs w:val="26"/>
        </w:rPr>
        <w:t>Saldo y Costo Financiero de los Créditos Bono Cupón Cero.</w:t>
      </w:r>
    </w:p>
    <w:p w14:paraId="1193E623" w14:textId="77777777" w:rsidR="00FD3EAB" w:rsidRPr="00853666" w:rsidRDefault="00FD3EAB" w:rsidP="00FD3EAB">
      <w:pPr>
        <w:spacing w:before="280" w:after="280"/>
        <w:jc w:val="both"/>
        <w:rPr>
          <w:rFonts w:ascii="Monsserrat" w:hAnsi="Monsserrat"/>
          <w:sz w:val="26"/>
          <w:szCs w:val="26"/>
        </w:rPr>
      </w:pPr>
      <w:r w:rsidRPr="00853666">
        <w:rPr>
          <w:rFonts w:ascii="Monsserrat" w:hAnsi="Monsserrat"/>
          <w:sz w:val="26"/>
          <w:szCs w:val="26"/>
        </w:rPr>
        <w:t>El saldo bruto de los Créditos Bono Cupón Cero al cierre del 2do. Trimestre 2022 asciende a 1,534 millones 235 mil 126 pesos.</w:t>
      </w:r>
    </w:p>
    <w:p w14:paraId="71F099F7" w14:textId="77777777" w:rsidR="00FD3EAB" w:rsidRPr="00853666" w:rsidRDefault="00FD3EAB" w:rsidP="00FD3EAB">
      <w:pPr>
        <w:spacing w:before="280" w:after="280"/>
        <w:jc w:val="both"/>
        <w:rPr>
          <w:rFonts w:ascii="Monsserrat" w:hAnsi="Monsserrat"/>
          <w:b/>
          <w:sz w:val="26"/>
          <w:szCs w:val="26"/>
        </w:rPr>
      </w:pPr>
    </w:p>
    <w:p w14:paraId="56FA8A0D" w14:textId="77777777" w:rsidR="00FD3EAB" w:rsidRPr="00853666" w:rsidRDefault="00FD3EAB" w:rsidP="00FD3EAB">
      <w:pPr>
        <w:spacing w:before="280" w:after="280"/>
        <w:jc w:val="both"/>
        <w:rPr>
          <w:rFonts w:ascii="Monsserrat" w:hAnsi="Monsserrat"/>
          <w:b/>
          <w:sz w:val="26"/>
          <w:szCs w:val="26"/>
        </w:rPr>
      </w:pPr>
      <w:r w:rsidRPr="00853666">
        <w:rPr>
          <w:rFonts w:ascii="Monsserrat" w:hAnsi="Monsserrat"/>
          <w:b/>
          <w:sz w:val="26"/>
          <w:szCs w:val="26"/>
        </w:rPr>
        <w:lastRenderedPageBreak/>
        <w:t>Pasivos Contingentes</w:t>
      </w:r>
    </w:p>
    <w:p w14:paraId="648EE86A" w14:textId="77777777" w:rsidR="00FD3EAB" w:rsidRPr="00853666" w:rsidRDefault="00FD3EAB" w:rsidP="00FD3EAB">
      <w:pPr>
        <w:spacing w:before="280" w:after="280"/>
        <w:jc w:val="both"/>
        <w:rPr>
          <w:rFonts w:ascii="Monsserrat" w:hAnsi="Monsserrat"/>
          <w:sz w:val="26"/>
          <w:szCs w:val="26"/>
        </w:rPr>
      </w:pPr>
      <w:r w:rsidRPr="00853666">
        <w:rPr>
          <w:rFonts w:ascii="Monsserrat" w:hAnsi="Monsserrat"/>
          <w:sz w:val="26"/>
          <w:szCs w:val="26"/>
        </w:rPr>
        <w:t>Los pasivos contingentes son aquellos surgidos de sucesos pasados, cuya posible existencia de ser confirmados solo por la ocurrencia o, en su caso, por la falta de ocurrencia de uno o más eventos inciertos en el futuro que no están enteramente bajo el control de la entidad.</w:t>
      </w:r>
    </w:p>
    <w:p w14:paraId="59772696" w14:textId="67F132E6" w:rsidR="00FD3EAB" w:rsidRPr="00853666" w:rsidRDefault="00FD3EAB" w:rsidP="00C56C61">
      <w:pPr>
        <w:spacing w:before="280"/>
        <w:jc w:val="both"/>
        <w:rPr>
          <w:rFonts w:ascii="Monsserrat" w:hAnsi="Monsserrat"/>
          <w:sz w:val="26"/>
          <w:szCs w:val="26"/>
        </w:rPr>
      </w:pPr>
      <w:r w:rsidRPr="00853666">
        <w:rPr>
          <w:rFonts w:ascii="Monsserrat" w:hAnsi="Monsserrat"/>
          <w:sz w:val="26"/>
          <w:szCs w:val="26"/>
        </w:rPr>
        <w:t xml:space="preserve">A </w:t>
      </w:r>
      <w:r w:rsidR="00C56C61" w:rsidRPr="00853666">
        <w:rPr>
          <w:rFonts w:ascii="Monsserrat" w:hAnsi="Monsserrat"/>
          <w:sz w:val="26"/>
          <w:szCs w:val="26"/>
        </w:rPr>
        <w:t>continuación,</w:t>
      </w:r>
      <w:r w:rsidRPr="00853666">
        <w:rPr>
          <w:rFonts w:ascii="Monsserrat" w:hAnsi="Monsserrat"/>
          <w:sz w:val="26"/>
          <w:szCs w:val="26"/>
        </w:rPr>
        <w:t xml:space="preserve"> se presentan los pasivos contingentes en sus diferentes conceptos, cabe mencionar que los montos son aproximados derivado de su naturaleza y tomados del Informe de Pasivos Contingentes de </w:t>
      </w:r>
      <w:r w:rsidR="00C56C61" w:rsidRPr="00853666">
        <w:rPr>
          <w:rFonts w:ascii="Monsserrat" w:hAnsi="Monsserrat"/>
          <w:sz w:val="26"/>
          <w:szCs w:val="26"/>
        </w:rPr>
        <w:t>este</w:t>
      </w:r>
      <w:r w:rsidRPr="00853666">
        <w:rPr>
          <w:rFonts w:ascii="Monsserrat" w:hAnsi="Monsserrat"/>
          <w:sz w:val="26"/>
          <w:szCs w:val="26"/>
        </w:rPr>
        <w:t xml:space="preserve"> tomo.</w:t>
      </w:r>
    </w:p>
    <w:tbl>
      <w:tblPr>
        <w:tblW w:w="7282"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0"/>
        <w:gridCol w:w="3242"/>
      </w:tblGrid>
      <w:tr w:rsidR="00FD3EAB" w:rsidRPr="00853666" w14:paraId="4996B3C9" w14:textId="77777777" w:rsidTr="00853666">
        <w:trPr>
          <w:trHeight w:val="960"/>
          <w:jc w:val="center"/>
        </w:trPr>
        <w:tc>
          <w:tcPr>
            <w:tcW w:w="7282" w:type="dxa"/>
            <w:gridSpan w:val="2"/>
          </w:tcPr>
          <w:p w14:paraId="4B1040E7" w14:textId="77777777" w:rsidR="00FD3EAB" w:rsidRPr="00853666" w:rsidRDefault="00FD3EAB" w:rsidP="00D06175">
            <w:pPr>
              <w:jc w:val="center"/>
              <w:rPr>
                <w:rFonts w:ascii="Monsserrat" w:hAnsi="Monsserrat"/>
                <w:b/>
                <w:sz w:val="26"/>
                <w:szCs w:val="26"/>
              </w:rPr>
            </w:pPr>
            <w:r w:rsidRPr="00853666">
              <w:rPr>
                <w:rFonts w:ascii="Monsserrat" w:hAnsi="Monsserrat"/>
                <w:b/>
                <w:sz w:val="26"/>
                <w:szCs w:val="26"/>
              </w:rPr>
              <w:t>JUICIOS Y LAUDOS DE POSIBLE PAGO A CARGO DEL GOBIERNO DEL ESTADO DEL 01 DE ENERO AL 30 DE JUNIO DEL 2022</w:t>
            </w:r>
          </w:p>
        </w:tc>
      </w:tr>
      <w:tr w:rsidR="00FD3EAB" w:rsidRPr="00853666" w14:paraId="63C7C7A4" w14:textId="77777777" w:rsidTr="00853666">
        <w:trPr>
          <w:trHeight w:val="315"/>
          <w:jc w:val="center"/>
        </w:trPr>
        <w:tc>
          <w:tcPr>
            <w:tcW w:w="4040" w:type="dxa"/>
          </w:tcPr>
          <w:p w14:paraId="357C0601" w14:textId="77777777" w:rsidR="00FD3EAB" w:rsidRPr="00853666" w:rsidRDefault="00FD3EAB" w:rsidP="00D06175">
            <w:pPr>
              <w:jc w:val="center"/>
              <w:rPr>
                <w:rFonts w:ascii="Monsserrat" w:hAnsi="Monsserrat"/>
                <w:b/>
                <w:sz w:val="26"/>
                <w:szCs w:val="26"/>
              </w:rPr>
            </w:pPr>
            <w:r w:rsidRPr="00853666">
              <w:rPr>
                <w:rFonts w:ascii="Monsserrat" w:hAnsi="Monsserrat"/>
                <w:b/>
                <w:sz w:val="26"/>
                <w:szCs w:val="26"/>
              </w:rPr>
              <w:t>Concepto</w:t>
            </w:r>
          </w:p>
        </w:tc>
        <w:tc>
          <w:tcPr>
            <w:tcW w:w="3242" w:type="dxa"/>
          </w:tcPr>
          <w:p w14:paraId="71FF21FC" w14:textId="77777777" w:rsidR="00FD3EAB" w:rsidRPr="00853666" w:rsidRDefault="00FD3EAB" w:rsidP="00D06175">
            <w:pPr>
              <w:jc w:val="center"/>
              <w:rPr>
                <w:rFonts w:ascii="Monsserrat" w:hAnsi="Monsserrat"/>
                <w:b/>
                <w:sz w:val="26"/>
                <w:szCs w:val="26"/>
              </w:rPr>
            </w:pPr>
            <w:r w:rsidRPr="00853666">
              <w:rPr>
                <w:rFonts w:ascii="Monsserrat" w:hAnsi="Monsserrat"/>
                <w:b/>
                <w:sz w:val="26"/>
                <w:szCs w:val="26"/>
              </w:rPr>
              <w:t>2022</w:t>
            </w:r>
          </w:p>
        </w:tc>
      </w:tr>
      <w:tr w:rsidR="00FD3EAB" w:rsidRPr="00853666" w14:paraId="539D3BE6" w14:textId="77777777" w:rsidTr="00853666">
        <w:trPr>
          <w:trHeight w:val="300"/>
          <w:jc w:val="center"/>
        </w:trPr>
        <w:tc>
          <w:tcPr>
            <w:tcW w:w="4040" w:type="dxa"/>
          </w:tcPr>
          <w:p w14:paraId="0242CB9A" w14:textId="77777777" w:rsidR="00FD3EAB" w:rsidRPr="00853666" w:rsidRDefault="00FD3EAB" w:rsidP="00D06175">
            <w:pPr>
              <w:rPr>
                <w:rFonts w:ascii="Monsserrat" w:hAnsi="Monsserrat"/>
                <w:sz w:val="26"/>
                <w:szCs w:val="26"/>
              </w:rPr>
            </w:pPr>
            <w:r w:rsidRPr="00853666">
              <w:rPr>
                <w:rFonts w:ascii="Monsserrat" w:hAnsi="Monsserrat"/>
                <w:sz w:val="26"/>
                <w:szCs w:val="26"/>
              </w:rPr>
              <w:t xml:space="preserve">JUICIO LABORAL </w:t>
            </w:r>
          </w:p>
        </w:tc>
        <w:tc>
          <w:tcPr>
            <w:tcW w:w="3242" w:type="dxa"/>
          </w:tcPr>
          <w:p w14:paraId="5789916F"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$1,450,591.45</w:t>
            </w:r>
          </w:p>
        </w:tc>
      </w:tr>
      <w:tr w:rsidR="00FD3EAB" w:rsidRPr="00853666" w14:paraId="1CFD288C" w14:textId="77777777" w:rsidTr="00853666">
        <w:trPr>
          <w:trHeight w:val="300"/>
          <w:jc w:val="center"/>
        </w:trPr>
        <w:tc>
          <w:tcPr>
            <w:tcW w:w="4040" w:type="dxa"/>
          </w:tcPr>
          <w:p w14:paraId="520FB89A" w14:textId="77777777" w:rsidR="00FD3EAB" w:rsidRPr="00853666" w:rsidRDefault="00FD3EAB" w:rsidP="00D06175">
            <w:pPr>
              <w:rPr>
                <w:rFonts w:ascii="Monsserrat" w:hAnsi="Monsserrat"/>
                <w:sz w:val="26"/>
                <w:szCs w:val="26"/>
              </w:rPr>
            </w:pPr>
            <w:proofErr w:type="spellStart"/>
            <w:r w:rsidRPr="00853666">
              <w:rPr>
                <w:rFonts w:ascii="Monsserrat" w:hAnsi="Monsserrat"/>
                <w:sz w:val="26"/>
                <w:szCs w:val="26"/>
              </w:rPr>
              <w:t>JUCIOS</w:t>
            </w:r>
            <w:proofErr w:type="spellEnd"/>
            <w:r w:rsidRPr="00853666">
              <w:rPr>
                <w:rFonts w:ascii="Monsserrat" w:hAnsi="Monsserrat"/>
                <w:sz w:val="26"/>
                <w:szCs w:val="26"/>
              </w:rPr>
              <w:t xml:space="preserve"> CIVILES</w:t>
            </w:r>
          </w:p>
        </w:tc>
        <w:tc>
          <w:tcPr>
            <w:tcW w:w="3242" w:type="dxa"/>
          </w:tcPr>
          <w:p w14:paraId="4029C1D0"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$37,220,341.33</w:t>
            </w:r>
          </w:p>
        </w:tc>
      </w:tr>
      <w:tr w:rsidR="00FD3EAB" w:rsidRPr="00853666" w14:paraId="6756103D" w14:textId="77777777" w:rsidTr="00853666">
        <w:trPr>
          <w:trHeight w:val="300"/>
          <w:jc w:val="center"/>
        </w:trPr>
        <w:tc>
          <w:tcPr>
            <w:tcW w:w="4040" w:type="dxa"/>
          </w:tcPr>
          <w:p w14:paraId="3709507C" w14:textId="77777777" w:rsidR="00FD3EAB" w:rsidRPr="00853666" w:rsidRDefault="00FD3EAB" w:rsidP="00D06175">
            <w:pPr>
              <w:rPr>
                <w:rFonts w:ascii="Monsserrat" w:hAnsi="Monsserrat"/>
                <w:sz w:val="26"/>
                <w:szCs w:val="26"/>
              </w:rPr>
            </w:pPr>
            <w:r w:rsidRPr="00853666">
              <w:rPr>
                <w:rFonts w:ascii="Monsserrat" w:hAnsi="Monsserrat"/>
                <w:sz w:val="26"/>
                <w:szCs w:val="26"/>
              </w:rPr>
              <w:t>JUICIOS CONTENCIOSO ADMINISTRATIVO ESTATAL</w:t>
            </w:r>
          </w:p>
        </w:tc>
        <w:tc>
          <w:tcPr>
            <w:tcW w:w="3242" w:type="dxa"/>
          </w:tcPr>
          <w:p w14:paraId="7B6185C7"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$430,328,236.39</w:t>
            </w:r>
          </w:p>
        </w:tc>
      </w:tr>
      <w:tr w:rsidR="00FD3EAB" w:rsidRPr="00853666" w14:paraId="693474E6" w14:textId="77777777" w:rsidTr="00853666">
        <w:trPr>
          <w:trHeight w:val="300"/>
          <w:jc w:val="center"/>
        </w:trPr>
        <w:tc>
          <w:tcPr>
            <w:tcW w:w="4040" w:type="dxa"/>
          </w:tcPr>
          <w:p w14:paraId="6BB9D231" w14:textId="77777777" w:rsidR="00FD3EAB" w:rsidRPr="00853666" w:rsidRDefault="00FD3EAB" w:rsidP="00D06175">
            <w:pPr>
              <w:rPr>
                <w:rFonts w:ascii="Monsserrat" w:hAnsi="Monsserrat"/>
                <w:sz w:val="26"/>
                <w:szCs w:val="26"/>
              </w:rPr>
            </w:pPr>
            <w:r w:rsidRPr="00853666">
              <w:rPr>
                <w:rFonts w:ascii="Monsserrat" w:hAnsi="Monsserrat"/>
                <w:sz w:val="26"/>
                <w:szCs w:val="26"/>
              </w:rPr>
              <w:t>JUICIOS DE AMPARO INDIRECTO</w:t>
            </w:r>
          </w:p>
        </w:tc>
        <w:tc>
          <w:tcPr>
            <w:tcW w:w="3242" w:type="dxa"/>
          </w:tcPr>
          <w:p w14:paraId="52C1A06E"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$1,266,426</w:t>
            </w:r>
          </w:p>
        </w:tc>
      </w:tr>
      <w:tr w:rsidR="00FD3EAB" w:rsidRPr="00853666" w14:paraId="6C9EEE2B" w14:textId="77777777" w:rsidTr="00853666">
        <w:trPr>
          <w:trHeight w:val="300"/>
          <w:jc w:val="center"/>
        </w:trPr>
        <w:tc>
          <w:tcPr>
            <w:tcW w:w="4040" w:type="dxa"/>
          </w:tcPr>
          <w:p w14:paraId="1C758CB3" w14:textId="77777777" w:rsidR="00FD3EAB" w:rsidRPr="00853666" w:rsidRDefault="00FD3EAB" w:rsidP="00D06175">
            <w:pPr>
              <w:rPr>
                <w:rFonts w:ascii="Monsserrat" w:hAnsi="Monsserrat"/>
                <w:sz w:val="26"/>
                <w:szCs w:val="26"/>
              </w:rPr>
            </w:pPr>
            <w:r w:rsidRPr="00853666">
              <w:rPr>
                <w:rFonts w:ascii="Monsserrat" w:hAnsi="Monsserrat"/>
                <w:sz w:val="26"/>
                <w:szCs w:val="26"/>
              </w:rPr>
              <w:t xml:space="preserve">JUICIOS </w:t>
            </w:r>
            <w:proofErr w:type="spellStart"/>
            <w:r w:rsidRPr="00853666">
              <w:rPr>
                <w:rFonts w:ascii="Monsserrat" w:hAnsi="Monsserrat"/>
                <w:sz w:val="26"/>
                <w:szCs w:val="26"/>
              </w:rPr>
              <w:t>INDIGENAS</w:t>
            </w:r>
            <w:proofErr w:type="spellEnd"/>
          </w:p>
        </w:tc>
        <w:tc>
          <w:tcPr>
            <w:tcW w:w="3242" w:type="dxa"/>
          </w:tcPr>
          <w:p w14:paraId="64A36D24"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INDETERMINADO</w:t>
            </w:r>
          </w:p>
        </w:tc>
      </w:tr>
      <w:tr w:rsidR="00FD3EAB" w:rsidRPr="00853666" w14:paraId="5C33F748" w14:textId="77777777" w:rsidTr="00853666">
        <w:trPr>
          <w:trHeight w:val="300"/>
          <w:jc w:val="center"/>
        </w:trPr>
        <w:tc>
          <w:tcPr>
            <w:tcW w:w="4040" w:type="dxa"/>
          </w:tcPr>
          <w:p w14:paraId="2823DDA3" w14:textId="77777777" w:rsidR="00FD3EAB" w:rsidRPr="00853666" w:rsidRDefault="00FD3EAB" w:rsidP="00D06175">
            <w:pPr>
              <w:rPr>
                <w:rFonts w:ascii="Monsserrat" w:hAnsi="Monsserrat"/>
                <w:sz w:val="26"/>
                <w:szCs w:val="26"/>
              </w:rPr>
            </w:pPr>
            <w:r w:rsidRPr="00853666">
              <w:rPr>
                <w:rFonts w:ascii="Monsserrat" w:hAnsi="Monsserrat"/>
                <w:sz w:val="26"/>
                <w:szCs w:val="26"/>
              </w:rPr>
              <w:t>CONTROVERSIAS CONSTITUCIONALES</w:t>
            </w:r>
          </w:p>
        </w:tc>
        <w:tc>
          <w:tcPr>
            <w:tcW w:w="3242" w:type="dxa"/>
          </w:tcPr>
          <w:p w14:paraId="02FA6CFE"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INDETERMINADO</w:t>
            </w:r>
          </w:p>
        </w:tc>
      </w:tr>
      <w:tr w:rsidR="00FD3EAB" w:rsidRPr="00853666" w14:paraId="1D024BBD" w14:textId="77777777" w:rsidTr="00853666">
        <w:trPr>
          <w:trHeight w:val="315"/>
          <w:jc w:val="center"/>
        </w:trPr>
        <w:tc>
          <w:tcPr>
            <w:tcW w:w="4040" w:type="dxa"/>
          </w:tcPr>
          <w:p w14:paraId="50A2690A" w14:textId="77777777" w:rsidR="00FD3EAB" w:rsidRPr="00853666" w:rsidRDefault="00FD3EAB" w:rsidP="00D06175">
            <w:pPr>
              <w:jc w:val="right"/>
              <w:rPr>
                <w:rFonts w:ascii="Monsserrat" w:hAnsi="Monsserrat"/>
                <w:b/>
                <w:sz w:val="26"/>
                <w:szCs w:val="26"/>
              </w:rPr>
            </w:pPr>
            <w:r w:rsidRPr="00853666">
              <w:rPr>
                <w:rFonts w:ascii="Monsserrat" w:hAnsi="Monsserrat"/>
                <w:b/>
                <w:sz w:val="26"/>
                <w:szCs w:val="26"/>
              </w:rPr>
              <w:t>TOTAL</w:t>
            </w:r>
          </w:p>
        </w:tc>
        <w:tc>
          <w:tcPr>
            <w:tcW w:w="3242" w:type="dxa"/>
          </w:tcPr>
          <w:p w14:paraId="01A473FC" w14:textId="77777777" w:rsidR="00FD3EAB" w:rsidRPr="00853666" w:rsidRDefault="00FD3EAB" w:rsidP="00D06175">
            <w:pPr>
              <w:jc w:val="right"/>
              <w:rPr>
                <w:rFonts w:ascii="Monsserrat" w:hAnsi="Monsserrat"/>
                <w:b/>
                <w:sz w:val="26"/>
                <w:szCs w:val="26"/>
              </w:rPr>
            </w:pPr>
            <w:r w:rsidRPr="00853666">
              <w:rPr>
                <w:rFonts w:ascii="Monsserrat" w:hAnsi="Monsserrat"/>
                <w:b/>
                <w:sz w:val="26"/>
                <w:szCs w:val="26"/>
              </w:rPr>
              <w:t>$470,265,595.17</w:t>
            </w:r>
          </w:p>
        </w:tc>
      </w:tr>
      <w:tr w:rsidR="00FD3EAB" w:rsidRPr="00853666" w14:paraId="66113E59" w14:textId="77777777" w:rsidTr="00853666">
        <w:trPr>
          <w:trHeight w:val="794"/>
          <w:jc w:val="center"/>
        </w:trPr>
        <w:tc>
          <w:tcPr>
            <w:tcW w:w="7282" w:type="dxa"/>
            <w:gridSpan w:val="2"/>
          </w:tcPr>
          <w:p w14:paraId="7C20462F" w14:textId="77777777" w:rsidR="00FD3EAB" w:rsidRPr="00853666" w:rsidRDefault="00FD3EAB" w:rsidP="00D06175">
            <w:pPr>
              <w:jc w:val="center"/>
              <w:rPr>
                <w:rFonts w:ascii="Monsserrat" w:hAnsi="Monsserrat"/>
                <w:b/>
                <w:sz w:val="26"/>
                <w:szCs w:val="26"/>
              </w:rPr>
            </w:pPr>
          </w:p>
          <w:p w14:paraId="7D316B13" w14:textId="77777777" w:rsidR="00FD3EAB" w:rsidRPr="00853666" w:rsidRDefault="00FD3EAB" w:rsidP="00D06175">
            <w:pPr>
              <w:jc w:val="center"/>
              <w:rPr>
                <w:rFonts w:ascii="Monsserrat" w:hAnsi="Monsserrat"/>
                <w:b/>
                <w:sz w:val="26"/>
                <w:szCs w:val="26"/>
              </w:rPr>
            </w:pPr>
          </w:p>
          <w:p w14:paraId="6BE5B302" w14:textId="77777777" w:rsidR="00FD3EAB" w:rsidRPr="00853666" w:rsidRDefault="00FD3EAB" w:rsidP="00D06175">
            <w:pPr>
              <w:jc w:val="center"/>
              <w:rPr>
                <w:rFonts w:ascii="Monsserrat" w:hAnsi="Monsserrat"/>
                <w:b/>
                <w:sz w:val="26"/>
                <w:szCs w:val="26"/>
              </w:rPr>
            </w:pPr>
            <w:r w:rsidRPr="00853666">
              <w:rPr>
                <w:rFonts w:ascii="Monsserrat" w:hAnsi="Monsserrat"/>
                <w:b/>
                <w:sz w:val="26"/>
                <w:szCs w:val="26"/>
              </w:rPr>
              <w:t>JUICIOS Y LAUDOS DE POSIBLE PAGO A CARGO DEL SECTOR CENTRAL (SEFIN) DEL 01 DE ENERO AL 30 DE JUNIO DEL 2022</w:t>
            </w:r>
          </w:p>
        </w:tc>
      </w:tr>
      <w:tr w:rsidR="00FD3EAB" w:rsidRPr="00853666" w14:paraId="6BABFEBD" w14:textId="77777777" w:rsidTr="00853666">
        <w:trPr>
          <w:trHeight w:val="315"/>
          <w:jc w:val="center"/>
        </w:trPr>
        <w:tc>
          <w:tcPr>
            <w:tcW w:w="4040" w:type="dxa"/>
          </w:tcPr>
          <w:p w14:paraId="3E91C874" w14:textId="77777777" w:rsidR="00FD3EAB" w:rsidRPr="00853666" w:rsidRDefault="00FD3EAB" w:rsidP="00D06175">
            <w:pPr>
              <w:jc w:val="center"/>
              <w:rPr>
                <w:rFonts w:ascii="Monsserrat" w:hAnsi="Monsserrat"/>
                <w:b/>
                <w:sz w:val="26"/>
                <w:szCs w:val="26"/>
              </w:rPr>
            </w:pPr>
            <w:r w:rsidRPr="00853666">
              <w:rPr>
                <w:rFonts w:ascii="Monsserrat" w:hAnsi="Monsserrat"/>
                <w:b/>
                <w:sz w:val="26"/>
                <w:szCs w:val="26"/>
              </w:rPr>
              <w:t>Concepto</w:t>
            </w:r>
          </w:p>
        </w:tc>
        <w:tc>
          <w:tcPr>
            <w:tcW w:w="3242" w:type="dxa"/>
          </w:tcPr>
          <w:p w14:paraId="79C3E819" w14:textId="77777777" w:rsidR="00FD3EAB" w:rsidRPr="00853666" w:rsidRDefault="00FD3EAB" w:rsidP="00D06175">
            <w:pPr>
              <w:jc w:val="center"/>
              <w:rPr>
                <w:rFonts w:ascii="Monsserrat" w:hAnsi="Monsserrat"/>
                <w:b/>
                <w:sz w:val="26"/>
                <w:szCs w:val="26"/>
              </w:rPr>
            </w:pPr>
            <w:r w:rsidRPr="00853666">
              <w:rPr>
                <w:rFonts w:ascii="Monsserrat" w:hAnsi="Monsserrat"/>
                <w:b/>
                <w:sz w:val="26"/>
                <w:szCs w:val="26"/>
              </w:rPr>
              <w:t>2022</w:t>
            </w:r>
          </w:p>
        </w:tc>
      </w:tr>
      <w:tr w:rsidR="00FD3EAB" w:rsidRPr="00853666" w14:paraId="39B2FAAC" w14:textId="77777777" w:rsidTr="00853666">
        <w:trPr>
          <w:trHeight w:val="300"/>
          <w:jc w:val="center"/>
        </w:trPr>
        <w:tc>
          <w:tcPr>
            <w:tcW w:w="4040" w:type="dxa"/>
          </w:tcPr>
          <w:p w14:paraId="40589C02" w14:textId="77777777" w:rsidR="00FD3EAB" w:rsidRPr="00853666" w:rsidRDefault="00FD3EAB" w:rsidP="00D06175">
            <w:pPr>
              <w:rPr>
                <w:rFonts w:ascii="Monsserrat" w:hAnsi="Monsserrat"/>
                <w:sz w:val="26"/>
                <w:szCs w:val="26"/>
              </w:rPr>
            </w:pPr>
            <w:r w:rsidRPr="00853666">
              <w:rPr>
                <w:rFonts w:ascii="Monsserrat" w:hAnsi="Monsserrat"/>
                <w:sz w:val="26"/>
                <w:szCs w:val="26"/>
              </w:rPr>
              <w:t>JUICIOS LABORABLES</w:t>
            </w:r>
          </w:p>
        </w:tc>
        <w:tc>
          <w:tcPr>
            <w:tcW w:w="3242" w:type="dxa"/>
          </w:tcPr>
          <w:p w14:paraId="2265E29A" w14:textId="507E4E45" w:rsidR="00FD3EAB" w:rsidRPr="00853666" w:rsidRDefault="00FD3EAB" w:rsidP="00D06175">
            <w:pPr>
              <w:jc w:val="right"/>
              <w:rPr>
                <w:rFonts w:ascii="Monsserrat" w:hAnsi="Monsserrat"/>
                <w:sz w:val="26"/>
                <w:szCs w:val="26"/>
              </w:rPr>
            </w:pPr>
            <w:r w:rsidRPr="00853666">
              <w:rPr>
                <w:rFonts w:ascii="Monsserrat" w:hAnsi="Monsserrat"/>
                <w:sz w:val="26"/>
                <w:szCs w:val="26"/>
              </w:rPr>
              <w:t xml:space="preserve">                         $1,079,105.11 </w:t>
            </w:r>
          </w:p>
        </w:tc>
      </w:tr>
      <w:tr w:rsidR="00FD3EAB" w:rsidRPr="00853666" w14:paraId="6A41970A" w14:textId="77777777" w:rsidTr="00853666">
        <w:trPr>
          <w:trHeight w:val="300"/>
          <w:jc w:val="center"/>
        </w:trPr>
        <w:tc>
          <w:tcPr>
            <w:tcW w:w="4040" w:type="dxa"/>
          </w:tcPr>
          <w:p w14:paraId="22477253" w14:textId="77777777" w:rsidR="00FD3EAB" w:rsidRPr="00853666" w:rsidRDefault="00FD3EAB" w:rsidP="00D06175">
            <w:pPr>
              <w:rPr>
                <w:rFonts w:ascii="Monsserrat" w:hAnsi="Monsserrat"/>
                <w:sz w:val="26"/>
                <w:szCs w:val="26"/>
              </w:rPr>
            </w:pPr>
            <w:r w:rsidRPr="00853666">
              <w:rPr>
                <w:rFonts w:ascii="Monsserrat" w:hAnsi="Monsserrat"/>
                <w:sz w:val="26"/>
                <w:szCs w:val="26"/>
              </w:rPr>
              <w:t>JUICIOS CIVILES</w:t>
            </w:r>
          </w:p>
        </w:tc>
        <w:tc>
          <w:tcPr>
            <w:tcW w:w="3242" w:type="dxa"/>
          </w:tcPr>
          <w:p w14:paraId="29F9ABD3"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$37,220,341.33</w:t>
            </w:r>
          </w:p>
        </w:tc>
      </w:tr>
      <w:tr w:rsidR="00FD3EAB" w:rsidRPr="00853666" w14:paraId="58DFBFEB" w14:textId="77777777" w:rsidTr="00853666">
        <w:trPr>
          <w:trHeight w:val="300"/>
          <w:jc w:val="center"/>
        </w:trPr>
        <w:tc>
          <w:tcPr>
            <w:tcW w:w="4040" w:type="dxa"/>
          </w:tcPr>
          <w:p w14:paraId="714C4F38" w14:textId="77777777" w:rsidR="00FD3EAB" w:rsidRPr="00853666" w:rsidRDefault="00FD3EAB" w:rsidP="00D06175">
            <w:pPr>
              <w:rPr>
                <w:rFonts w:ascii="Monsserrat" w:hAnsi="Monsserrat"/>
                <w:sz w:val="26"/>
                <w:szCs w:val="26"/>
              </w:rPr>
            </w:pPr>
            <w:r w:rsidRPr="00853666">
              <w:rPr>
                <w:rFonts w:ascii="Monsserrat" w:hAnsi="Monsserrat"/>
                <w:sz w:val="26"/>
                <w:szCs w:val="26"/>
              </w:rPr>
              <w:t>JUICIOS CONTENCIOSO ADMINISTRATIVO ESTATAL</w:t>
            </w:r>
          </w:p>
        </w:tc>
        <w:tc>
          <w:tcPr>
            <w:tcW w:w="3242" w:type="dxa"/>
          </w:tcPr>
          <w:p w14:paraId="17880976"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$98,484,000.00</w:t>
            </w:r>
          </w:p>
        </w:tc>
      </w:tr>
      <w:tr w:rsidR="00FD3EAB" w:rsidRPr="00853666" w14:paraId="149702D4" w14:textId="77777777" w:rsidTr="00853666">
        <w:trPr>
          <w:trHeight w:val="300"/>
          <w:jc w:val="center"/>
        </w:trPr>
        <w:tc>
          <w:tcPr>
            <w:tcW w:w="4040" w:type="dxa"/>
          </w:tcPr>
          <w:p w14:paraId="1AD28239" w14:textId="77777777" w:rsidR="00FD3EAB" w:rsidRPr="00853666" w:rsidRDefault="00FD3EAB" w:rsidP="00D06175">
            <w:pPr>
              <w:rPr>
                <w:rFonts w:ascii="Monsserrat" w:hAnsi="Monsserrat"/>
                <w:sz w:val="26"/>
                <w:szCs w:val="26"/>
              </w:rPr>
            </w:pPr>
            <w:r w:rsidRPr="00853666">
              <w:rPr>
                <w:rFonts w:ascii="Monsserrat" w:hAnsi="Monsserrat"/>
                <w:sz w:val="26"/>
                <w:szCs w:val="26"/>
              </w:rPr>
              <w:t>JUICIOS DE AMPARO INDIRECTO</w:t>
            </w:r>
          </w:p>
        </w:tc>
        <w:tc>
          <w:tcPr>
            <w:tcW w:w="3242" w:type="dxa"/>
          </w:tcPr>
          <w:p w14:paraId="18DA951C"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$1,266,426</w:t>
            </w:r>
          </w:p>
        </w:tc>
      </w:tr>
      <w:tr w:rsidR="00FD3EAB" w:rsidRPr="00853666" w14:paraId="54F01280" w14:textId="77777777" w:rsidTr="00853666">
        <w:trPr>
          <w:trHeight w:val="300"/>
          <w:jc w:val="center"/>
        </w:trPr>
        <w:tc>
          <w:tcPr>
            <w:tcW w:w="4040" w:type="dxa"/>
          </w:tcPr>
          <w:p w14:paraId="00544694" w14:textId="77777777" w:rsidR="00FD3EAB" w:rsidRPr="00853666" w:rsidRDefault="00FD3EAB" w:rsidP="00D06175">
            <w:pPr>
              <w:rPr>
                <w:rFonts w:ascii="Monsserrat" w:hAnsi="Monsserrat"/>
                <w:sz w:val="26"/>
                <w:szCs w:val="26"/>
              </w:rPr>
            </w:pPr>
            <w:r w:rsidRPr="00853666">
              <w:rPr>
                <w:rFonts w:ascii="Monsserrat" w:hAnsi="Monsserrat"/>
                <w:sz w:val="26"/>
                <w:szCs w:val="26"/>
              </w:rPr>
              <w:t xml:space="preserve">JUICIOS </w:t>
            </w:r>
            <w:proofErr w:type="spellStart"/>
            <w:r w:rsidRPr="00853666">
              <w:rPr>
                <w:rFonts w:ascii="Monsserrat" w:hAnsi="Monsserrat"/>
                <w:sz w:val="26"/>
                <w:szCs w:val="26"/>
              </w:rPr>
              <w:t>INDIGENAS</w:t>
            </w:r>
            <w:proofErr w:type="spellEnd"/>
          </w:p>
        </w:tc>
        <w:tc>
          <w:tcPr>
            <w:tcW w:w="3242" w:type="dxa"/>
          </w:tcPr>
          <w:p w14:paraId="3C243AC9"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INDETERMINADO</w:t>
            </w:r>
          </w:p>
        </w:tc>
      </w:tr>
      <w:tr w:rsidR="00FD3EAB" w:rsidRPr="00853666" w14:paraId="4FE4B196" w14:textId="77777777" w:rsidTr="00853666">
        <w:trPr>
          <w:trHeight w:val="315"/>
          <w:jc w:val="center"/>
        </w:trPr>
        <w:tc>
          <w:tcPr>
            <w:tcW w:w="4040" w:type="dxa"/>
          </w:tcPr>
          <w:p w14:paraId="1902ACCB" w14:textId="77777777" w:rsidR="00FD3EAB" w:rsidRPr="00853666" w:rsidRDefault="00FD3EAB" w:rsidP="00D06175">
            <w:pPr>
              <w:rPr>
                <w:rFonts w:ascii="Monsserrat" w:hAnsi="Monsserrat"/>
                <w:sz w:val="26"/>
                <w:szCs w:val="26"/>
              </w:rPr>
            </w:pPr>
            <w:r w:rsidRPr="00853666">
              <w:rPr>
                <w:rFonts w:ascii="Monsserrat" w:hAnsi="Monsserrat"/>
                <w:sz w:val="26"/>
                <w:szCs w:val="26"/>
              </w:rPr>
              <w:t>CONTROVERSIAS CONSTITUCIONALES</w:t>
            </w:r>
          </w:p>
        </w:tc>
        <w:tc>
          <w:tcPr>
            <w:tcW w:w="3242" w:type="dxa"/>
          </w:tcPr>
          <w:p w14:paraId="16AB97A1" w14:textId="77777777" w:rsidR="00FD3EAB" w:rsidRPr="00853666" w:rsidRDefault="00FD3EAB" w:rsidP="00D06175">
            <w:pPr>
              <w:jc w:val="right"/>
              <w:rPr>
                <w:rFonts w:ascii="Monsserrat" w:hAnsi="Monsserrat"/>
                <w:sz w:val="26"/>
                <w:szCs w:val="26"/>
              </w:rPr>
            </w:pPr>
            <w:r w:rsidRPr="00853666">
              <w:rPr>
                <w:rFonts w:ascii="Monsserrat" w:hAnsi="Monsserrat"/>
                <w:sz w:val="26"/>
                <w:szCs w:val="26"/>
              </w:rPr>
              <w:t>INDETERMINADO</w:t>
            </w:r>
          </w:p>
        </w:tc>
      </w:tr>
      <w:tr w:rsidR="00FD3EAB" w:rsidRPr="00853666" w14:paraId="4B599585" w14:textId="77777777" w:rsidTr="00853666">
        <w:trPr>
          <w:trHeight w:val="75"/>
          <w:jc w:val="center"/>
        </w:trPr>
        <w:tc>
          <w:tcPr>
            <w:tcW w:w="4040" w:type="dxa"/>
          </w:tcPr>
          <w:p w14:paraId="137DA6E1" w14:textId="77777777" w:rsidR="00FD3EAB" w:rsidRPr="00853666" w:rsidRDefault="00FD3EAB" w:rsidP="00D06175">
            <w:pPr>
              <w:jc w:val="right"/>
              <w:rPr>
                <w:rFonts w:ascii="Monsserrat" w:hAnsi="Monsserrat"/>
                <w:b/>
                <w:sz w:val="26"/>
                <w:szCs w:val="26"/>
              </w:rPr>
            </w:pPr>
            <w:r w:rsidRPr="00853666">
              <w:rPr>
                <w:rFonts w:ascii="Monsserrat" w:hAnsi="Monsserrat"/>
                <w:b/>
                <w:sz w:val="26"/>
                <w:szCs w:val="26"/>
              </w:rPr>
              <w:t>TOTAL</w:t>
            </w:r>
          </w:p>
        </w:tc>
        <w:tc>
          <w:tcPr>
            <w:tcW w:w="3242" w:type="dxa"/>
          </w:tcPr>
          <w:p w14:paraId="5677C1FB" w14:textId="77777777" w:rsidR="00FD3EAB" w:rsidRPr="00853666" w:rsidRDefault="00FD3EAB" w:rsidP="00D06175">
            <w:pPr>
              <w:jc w:val="right"/>
              <w:rPr>
                <w:rFonts w:ascii="Monsserrat" w:hAnsi="Monsserrat"/>
                <w:b/>
                <w:sz w:val="26"/>
                <w:szCs w:val="26"/>
              </w:rPr>
            </w:pPr>
            <w:r w:rsidRPr="00853666">
              <w:rPr>
                <w:rFonts w:ascii="Monsserrat" w:hAnsi="Monsserrat"/>
                <w:b/>
                <w:sz w:val="26"/>
                <w:szCs w:val="26"/>
              </w:rPr>
              <w:t>$138,049,872.44</w:t>
            </w:r>
          </w:p>
        </w:tc>
      </w:tr>
    </w:tbl>
    <w:p w14:paraId="557A13C6" w14:textId="77777777" w:rsidR="00FD3EAB" w:rsidRPr="00853666" w:rsidRDefault="00FD3EAB" w:rsidP="00FD3EAB">
      <w:pPr>
        <w:spacing w:before="280" w:after="280"/>
        <w:jc w:val="center"/>
        <w:rPr>
          <w:rFonts w:ascii="Monsserrat" w:hAnsi="Monsserrat"/>
          <w:i/>
          <w:sz w:val="26"/>
          <w:szCs w:val="26"/>
        </w:rPr>
      </w:pPr>
      <w:r w:rsidRPr="00853666">
        <w:rPr>
          <w:rFonts w:ascii="Monsserrat" w:hAnsi="Monsserrat"/>
          <w:b/>
          <w:i/>
          <w:sz w:val="26"/>
          <w:szCs w:val="26"/>
        </w:rPr>
        <w:lastRenderedPageBreak/>
        <w:t>NOTAS DE GESTIÓN ADMINISTRATIVA</w:t>
      </w:r>
    </w:p>
    <w:p w14:paraId="475564FA" w14:textId="77777777" w:rsidR="00FD3EAB" w:rsidRPr="00853666" w:rsidRDefault="00FD3EAB" w:rsidP="00FD3EAB">
      <w:pPr>
        <w:spacing w:before="280" w:after="280"/>
        <w:jc w:val="both"/>
        <w:rPr>
          <w:rFonts w:ascii="Monsserrat" w:hAnsi="Monsserrat"/>
          <w:b/>
          <w:sz w:val="26"/>
          <w:szCs w:val="26"/>
        </w:rPr>
      </w:pPr>
      <w:r w:rsidRPr="00853666">
        <w:rPr>
          <w:rFonts w:ascii="Monsserrat" w:hAnsi="Monsserrat"/>
          <w:b/>
          <w:sz w:val="26"/>
          <w:szCs w:val="26"/>
        </w:rPr>
        <w:t>1. Introducción</w:t>
      </w:r>
    </w:p>
    <w:p w14:paraId="320FA0B0" w14:textId="77777777" w:rsidR="00FD3EAB" w:rsidRPr="003D090B" w:rsidRDefault="00FD3EAB" w:rsidP="003D090B">
      <w:pPr>
        <w:spacing w:before="120" w:after="120"/>
        <w:jc w:val="both"/>
        <w:rPr>
          <w:rFonts w:ascii="Monsserrat" w:hAnsi="Monsserrat"/>
          <w:sz w:val="25"/>
          <w:szCs w:val="25"/>
        </w:rPr>
      </w:pPr>
      <w:r w:rsidRPr="003D090B">
        <w:rPr>
          <w:rFonts w:ascii="Monsserrat" w:hAnsi="Monsserrat"/>
          <w:sz w:val="25"/>
          <w:szCs w:val="25"/>
        </w:rPr>
        <w:t xml:space="preserve">Los estados financieros de los entes públicos proveen de información financiera a los principales usuarios de </w:t>
      </w:r>
      <w:proofErr w:type="gramStart"/>
      <w:r w:rsidRPr="003D090B">
        <w:rPr>
          <w:rFonts w:ascii="Monsserrat" w:hAnsi="Monsserrat"/>
          <w:sz w:val="25"/>
          <w:szCs w:val="25"/>
        </w:rPr>
        <w:t>la misma</w:t>
      </w:r>
      <w:proofErr w:type="gramEnd"/>
      <w:r w:rsidRPr="003D090B">
        <w:rPr>
          <w:rFonts w:ascii="Monsserrat" w:hAnsi="Monsserrat"/>
          <w:sz w:val="25"/>
          <w:szCs w:val="25"/>
        </w:rPr>
        <w:t>, a los administradores de la Secretarías que integran el Poder Ejecutivo del Gobierno del Estado, al H. Congreso del Estado de Oaxaca, a las Entidades Fiscalizadoras, a las Instituciones Bancarias, a las Calificadoras y a la ciudadanía.</w:t>
      </w:r>
    </w:p>
    <w:p w14:paraId="1C945FEC" w14:textId="2B23667A" w:rsidR="00FD3EAB" w:rsidRPr="003D090B" w:rsidRDefault="00FD3EAB" w:rsidP="003D090B">
      <w:pPr>
        <w:spacing w:before="120" w:after="120"/>
        <w:jc w:val="both"/>
        <w:rPr>
          <w:rFonts w:ascii="Monsserrat" w:hAnsi="Monsserrat"/>
          <w:sz w:val="25"/>
          <w:szCs w:val="25"/>
        </w:rPr>
      </w:pPr>
      <w:r w:rsidRPr="003D090B">
        <w:rPr>
          <w:rFonts w:ascii="Monsserrat" w:hAnsi="Monsserrat"/>
          <w:sz w:val="25"/>
          <w:szCs w:val="25"/>
        </w:rPr>
        <w:t>El presente documento es la revelación del contexto y de los aspectos económicos financieros más relevantes que influyeron en las decisiones del periodo, y que deberán ser considerados en la elaboración de los estados financieros para la mayor comprensión de estos y sus particularidades.</w:t>
      </w:r>
    </w:p>
    <w:p w14:paraId="02859A64" w14:textId="77777777" w:rsidR="00AC0D24" w:rsidRPr="003D090B" w:rsidRDefault="00AC0D24" w:rsidP="003D090B">
      <w:pPr>
        <w:spacing w:before="120" w:after="120"/>
        <w:jc w:val="both"/>
        <w:rPr>
          <w:rFonts w:ascii="Monsserrat" w:hAnsi="Monsserrat"/>
          <w:sz w:val="25"/>
          <w:szCs w:val="25"/>
        </w:rPr>
      </w:pPr>
      <w:r w:rsidRPr="003D090B">
        <w:rPr>
          <w:rFonts w:ascii="Monsserrat" w:hAnsi="Monsserrat"/>
          <w:sz w:val="25"/>
          <w:szCs w:val="25"/>
        </w:rPr>
        <w:t>Los Estados Financieros del Poder Ejecutivo son elaborados por la Secretaría de  Finanzas a través de la Dirección de Contabilidad, formulados con sustento a las disposiciones legales, normas contables y presupuestales del Estado, en apego a los criterios de armonización que dicta la Ley  General de Contabilidad Gubernamental, las Normas y Metodologías para la Emisión de la Información Financiera y con la Estructura de los  Estados Financieros básicos emitido por el Consejo Nacional de Armonización Contable  (CONAC); resaltando que, con base en los Criterios para la elaboración y presentación homogénea de la información financiera y de los formatos a que hace referencia la citada Ley, las cifras reportadas en los Formatos correspondientes a la Ley de Disciplina Financiera son anuales, y corresponden al cierre del ejercicio 2021. Por lo que respecta a las cifras comparativas presentadas en los Estados Financieros básicos, se comparan con el mismo periodo del ejercicio anterior, reportando hasta el mes de junio de 2021.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esta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 además, de exponer aquellas políticas que podrían afectar la toma de decisiones en periodos posteriores.</w:t>
      </w:r>
    </w:p>
    <w:p w14:paraId="7D9DE027" w14:textId="77777777"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2. Panorama económico</w:t>
      </w:r>
    </w:p>
    <w:p w14:paraId="2CAD251E" w14:textId="2B3A7D32" w:rsidR="00FD3EAB" w:rsidRPr="003D090B" w:rsidRDefault="00FD3EAB" w:rsidP="00FD3EAB">
      <w:pPr>
        <w:jc w:val="both"/>
        <w:rPr>
          <w:rFonts w:ascii="Monsserrat" w:hAnsi="Monsserrat"/>
          <w:sz w:val="25"/>
          <w:szCs w:val="25"/>
        </w:rPr>
      </w:pPr>
      <w:r w:rsidRPr="003D090B">
        <w:rPr>
          <w:rFonts w:ascii="Monsserrat" w:hAnsi="Monsserrat"/>
          <w:b/>
          <w:sz w:val="25"/>
          <w:szCs w:val="25"/>
        </w:rPr>
        <w:t>Economía mundial</w:t>
      </w:r>
      <w:r w:rsidRPr="003D090B">
        <w:rPr>
          <w:rFonts w:ascii="Monsserrat" w:hAnsi="Monsserrat"/>
          <w:sz w:val="25"/>
          <w:szCs w:val="25"/>
        </w:rPr>
        <w:t xml:space="preserve">. Su perspectiva se ve con una continua serie de perturbaciones desestabilizadoras por la afectación de más de dos años del efecto pandemia de </w:t>
      </w:r>
      <w:r w:rsidRPr="003D090B">
        <w:rPr>
          <w:rFonts w:ascii="Monsserrat" w:hAnsi="Monsserrat"/>
          <w:sz w:val="25"/>
          <w:szCs w:val="25"/>
        </w:rPr>
        <w:lastRenderedPageBreak/>
        <w:t xml:space="preserve">COVID-19 y la invasión de la federación de Rusia a Ucrania que han provocado un efecto negativo en el mercado de productos básicos, en las cadenas de suministros y la inflación con el respectivo efecto financiero en todos los países que conllevan a disminución del crecimiento económico mundial. </w:t>
      </w:r>
    </w:p>
    <w:p w14:paraId="7DE1A042" w14:textId="77777777" w:rsidR="00C56C61" w:rsidRPr="003D090B" w:rsidRDefault="00C56C61" w:rsidP="00FD3EAB">
      <w:pPr>
        <w:jc w:val="both"/>
        <w:rPr>
          <w:rFonts w:ascii="Monsserrat" w:hAnsi="Monsserrat"/>
          <w:sz w:val="16"/>
          <w:szCs w:val="16"/>
        </w:rPr>
      </w:pPr>
    </w:p>
    <w:p w14:paraId="0975BE80" w14:textId="53CDED8D" w:rsidR="00FD3EAB" w:rsidRPr="003D090B" w:rsidRDefault="00FD3EAB" w:rsidP="00FD3EAB">
      <w:pPr>
        <w:jc w:val="both"/>
        <w:rPr>
          <w:rFonts w:ascii="Monsserrat" w:hAnsi="Monsserrat"/>
          <w:sz w:val="25"/>
          <w:szCs w:val="25"/>
        </w:rPr>
      </w:pPr>
      <w:r w:rsidRPr="003D090B">
        <w:rPr>
          <w:rFonts w:ascii="Monsserrat" w:hAnsi="Monsserrat"/>
          <w:sz w:val="25"/>
          <w:szCs w:val="25"/>
        </w:rPr>
        <w:t>Interesante el análisis presentado por el Grupo Banco Mundial con lo que respecta al efecto negativo consecuencia de la invasión rusa a Ucrania y las secuelas aún persistentes del efecto pandemia coronavirus COVID-19.</w:t>
      </w:r>
    </w:p>
    <w:p w14:paraId="1E1F1184" w14:textId="77777777" w:rsidR="00C56C61" w:rsidRPr="003D090B" w:rsidRDefault="00C56C61" w:rsidP="00FD3EAB">
      <w:pPr>
        <w:jc w:val="both"/>
        <w:rPr>
          <w:rFonts w:ascii="Monsserrat" w:hAnsi="Monsserrat"/>
          <w:sz w:val="16"/>
          <w:szCs w:val="16"/>
        </w:rPr>
      </w:pPr>
    </w:p>
    <w:p w14:paraId="0519FCBC" w14:textId="28EFBFE2" w:rsidR="00FD3EAB" w:rsidRPr="003D090B" w:rsidRDefault="00FD3EAB" w:rsidP="00FD3EAB">
      <w:pPr>
        <w:jc w:val="both"/>
        <w:rPr>
          <w:rFonts w:ascii="Monsserrat" w:hAnsi="Monsserrat"/>
          <w:sz w:val="25"/>
          <w:szCs w:val="25"/>
        </w:rPr>
      </w:pPr>
      <w:r w:rsidRPr="003D090B">
        <w:rPr>
          <w:rFonts w:ascii="Monsserrat" w:hAnsi="Monsserrat"/>
          <w:sz w:val="25"/>
          <w:szCs w:val="25"/>
        </w:rPr>
        <w:t>“El Grupo Banco Mundial (</w:t>
      </w:r>
      <w:proofErr w:type="spellStart"/>
      <w:r w:rsidRPr="003D090B">
        <w:rPr>
          <w:rFonts w:ascii="Monsserrat" w:hAnsi="Monsserrat"/>
          <w:sz w:val="25"/>
          <w:szCs w:val="25"/>
        </w:rPr>
        <w:t>GBM</w:t>
      </w:r>
      <w:proofErr w:type="spellEnd"/>
      <w:r w:rsidRPr="003D090B">
        <w:rPr>
          <w:rFonts w:ascii="Monsserrat" w:hAnsi="Monsserrat"/>
          <w:sz w:val="25"/>
          <w:szCs w:val="25"/>
        </w:rPr>
        <w:t>), resume en estos términos lo que está sucediendo y lo que se espera a un plazo inmediato si continúan los fenómenos que inciden en la solución social y económica de todos los países y sobre todo los países en desarrollo. “En particular, la guerra en Ucrania está provocando un marcado aumento de los precios y volatilidad en los mercados energéticos, al tiempo que las mejoras en la actividad de los países exportadores de energía se ven contrarrestada sobradamente por factores adversos en la mayoría de las demás economías. La invasión a Ucrania también ha provocado una suba significativa de los precios de los productos básicos agrícolas, lo cual está exacerbando la inseguridad alimentaria y la pobreza extrema en muchos Mercados Emergentes y Economías en Desarrollo (</w:t>
      </w:r>
      <w:proofErr w:type="spellStart"/>
      <w:r w:rsidRPr="003D090B">
        <w:rPr>
          <w:rFonts w:ascii="Monsserrat" w:hAnsi="Monsserrat"/>
          <w:sz w:val="25"/>
          <w:szCs w:val="25"/>
        </w:rPr>
        <w:t>MEED</w:t>
      </w:r>
      <w:proofErr w:type="spellEnd"/>
      <w:r w:rsidRPr="003D090B">
        <w:rPr>
          <w:rFonts w:ascii="Monsserrat" w:hAnsi="Monsserrat"/>
          <w:sz w:val="25"/>
          <w:szCs w:val="25"/>
        </w:rPr>
        <w:t xml:space="preserve">). Numerosos riesgos podrían desarticular aún más lo que es ahora una recuperación precaria. Entre ellos cabe mencionar, en particular, el riesgo de una inflación mundial persistentemente alta acompañada de un crecimiento modesto, que recuerda la estanflación de la década de 1970. Con el tiempo, esto podría dar lugar a un fuerte endurecimiento de la política monetaria en las economías avanzadas con el objetivo de frenar la inflación, provocar un aumento de los costos de los empréstitos y, posiblemente, culminar en tensiones financieras en algunos </w:t>
      </w:r>
      <w:proofErr w:type="spellStart"/>
      <w:r w:rsidRPr="003D090B">
        <w:rPr>
          <w:rFonts w:ascii="Monsserrat" w:hAnsi="Monsserrat"/>
          <w:sz w:val="25"/>
          <w:szCs w:val="25"/>
        </w:rPr>
        <w:t>MEED</w:t>
      </w:r>
      <w:proofErr w:type="spellEnd"/>
      <w:r w:rsidRPr="003D090B">
        <w:rPr>
          <w:rFonts w:ascii="Monsserrat" w:hAnsi="Monsserrat"/>
          <w:sz w:val="25"/>
          <w:szCs w:val="25"/>
        </w:rPr>
        <w:t>. Las autoridades de estos últimos países y la comunidad mundial deben brindar una respuesta normativa contundente y amplia para impulsar el crecimiento, reforzar los marcos macroeconómicos, reducir las vulnerabilidades financieras, brindar apoyo a los grupos de población vulnerables y atenuar los impactos a largo plazo de las crisis mundiales de los últimos años”.</w:t>
      </w:r>
    </w:p>
    <w:p w14:paraId="10A10D28" w14:textId="77777777" w:rsidR="00C56C61" w:rsidRPr="003D090B" w:rsidRDefault="00C56C61" w:rsidP="00FD3EAB">
      <w:pPr>
        <w:jc w:val="both"/>
        <w:rPr>
          <w:rFonts w:ascii="Monsserrat" w:hAnsi="Monsserrat"/>
          <w:sz w:val="16"/>
          <w:szCs w:val="16"/>
        </w:rPr>
      </w:pPr>
    </w:p>
    <w:p w14:paraId="51016FAB" w14:textId="0D827906" w:rsidR="00FD3EAB" w:rsidRPr="003D090B" w:rsidRDefault="00FD3EAB" w:rsidP="00FD3EAB">
      <w:pPr>
        <w:jc w:val="both"/>
        <w:rPr>
          <w:rFonts w:ascii="Monsserrat" w:hAnsi="Monsserrat"/>
          <w:sz w:val="25"/>
          <w:szCs w:val="25"/>
        </w:rPr>
      </w:pPr>
      <w:r w:rsidRPr="003D090B">
        <w:rPr>
          <w:rFonts w:ascii="Monsserrat" w:hAnsi="Monsserrat"/>
          <w:sz w:val="25"/>
          <w:szCs w:val="25"/>
        </w:rPr>
        <w:t>Los eventos mencionados: la pandemia y la invasión rusa a Ucrania y sus respectivos efectos negativos intensifican la desaceleración de la actividad económica mundial, lo expuesto implica que se espera una disminución al 2.9% en 2022 y para el 2023 se eleve al 3.0%.</w:t>
      </w:r>
    </w:p>
    <w:p w14:paraId="61698536" w14:textId="77777777" w:rsidR="00C56C61" w:rsidRPr="003D090B" w:rsidRDefault="00C56C61" w:rsidP="00FD3EAB">
      <w:pPr>
        <w:jc w:val="both"/>
        <w:rPr>
          <w:rFonts w:ascii="Monsserrat" w:hAnsi="Monsserrat"/>
          <w:sz w:val="16"/>
          <w:szCs w:val="16"/>
        </w:rPr>
      </w:pPr>
    </w:p>
    <w:p w14:paraId="3F25D5E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La debilidad del crecimiento económico y el alza continua de la inflación llevan consigo que los analistas pronostiquen una recesión para el año 2023, mientras tanto, todos los mercados presentan una alta volatilidad y la actitud de los inversores es buscar refugios en los instrumentos de inversión con menos complicaciones de riesgo.</w:t>
      </w:r>
    </w:p>
    <w:p w14:paraId="298ADBA7" w14:textId="28286500" w:rsidR="00FD3EAB" w:rsidRPr="003D090B" w:rsidRDefault="00FD3EAB" w:rsidP="00FD3EAB">
      <w:pPr>
        <w:jc w:val="both"/>
        <w:rPr>
          <w:rFonts w:ascii="Monsserrat" w:hAnsi="Monsserrat"/>
          <w:sz w:val="25"/>
          <w:szCs w:val="25"/>
        </w:rPr>
      </w:pPr>
      <w:r w:rsidRPr="003D090B">
        <w:rPr>
          <w:rFonts w:ascii="Monsserrat" w:hAnsi="Monsserrat"/>
          <w:sz w:val="25"/>
          <w:szCs w:val="25"/>
        </w:rPr>
        <w:lastRenderedPageBreak/>
        <w:t xml:space="preserve">“Inflación en valores máximos de varios años. En abril de 2022, la inflación mundial (7,8%) y la inflación en los </w:t>
      </w:r>
      <w:proofErr w:type="spellStart"/>
      <w:r w:rsidRPr="003D090B">
        <w:rPr>
          <w:rFonts w:ascii="Monsserrat" w:hAnsi="Monsserrat"/>
          <w:sz w:val="25"/>
          <w:szCs w:val="25"/>
        </w:rPr>
        <w:t>MEED</w:t>
      </w:r>
      <w:proofErr w:type="spellEnd"/>
      <w:r w:rsidRPr="003D090B">
        <w:rPr>
          <w:rFonts w:ascii="Monsserrat" w:hAnsi="Monsserrat"/>
          <w:sz w:val="25"/>
          <w:szCs w:val="25"/>
        </w:rPr>
        <w:t xml:space="preserve"> (9,4%) se ubicaron en sus niveles más altos desde 2008 (gráfico 1). La inflación en las economías avanzadas se ubicó en su nivel más alto desde 1982. La inflación se situó por encima de las metas en todas las economías avanzadas y en casi el 90% de los </w:t>
      </w:r>
      <w:proofErr w:type="spellStart"/>
      <w:r w:rsidRPr="003D090B">
        <w:rPr>
          <w:rFonts w:ascii="Monsserrat" w:hAnsi="Monsserrat"/>
          <w:sz w:val="25"/>
          <w:szCs w:val="25"/>
        </w:rPr>
        <w:t>MEED</w:t>
      </w:r>
      <w:proofErr w:type="spellEnd"/>
      <w:r w:rsidRPr="003D090B">
        <w:rPr>
          <w:rFonts w:ascii="Monsserrat" w:hAnsi="Monsserrat"/>
          <w:sz w:val="25"/>
          <w:szCs w:val="25"/>
        </w:rPr>
        <w:t xml:space="preserve"> con objetivos de inflación. Se prevé que la inflación mundial disminuya al 3% a mediados de 2023. No obstante, esta disminución seguiría siendo de alrededor de 1 punto porcentual por encima de su promedio en 2019” (</w:t>
      </w:r>
      <w:proofErr w:type="spellStart"/>
      <w:r w:rsidRPr="003D090B">
        <w:rPr>
          <w:rFonts w:ascii="Monsserrat" w:hAnsi="Monsserrat"/>
          <w:sz w:val="25"/>
          <w:szCs w:val="25"/>
        </w:rPr>
        <w:t>GBM</w:t>
      </w:r>
      <w:proofErr w:type="spellEnd"/>
      <w:r w:rsidRPr="003D090B">
        <w:rPr>
          <w:rFonts w:ascii="Monsserrat" w:hAnsi="Monsserrat"/>
          <w:sz w:val="25"/>
          <w:szCs w:val="25"/>
        </w:rPr>
        <w:t>).</w:t>
      </w:r>
    </w:p>
    <w:p w14:paraId="30B7788F" w14:textId="77777777" w:rsidR="00C56C61" w:rsidRPr="003D090B" w:rsidRDefault="00C56C61" w:rsidP="00FD3EAB">
      <w:pPr>
        <w:jc w:val="both"/>
        <w:rPr>
          <w:rFonts w:ascii="Monsserrat" w:hAnsi="Monsserrat"/>
          <w:sz w:val="16"/>
          <w:szCs w:val="16"/>
        </w:rPr>
      </w:pPr>
    </w:p>
    <w:p w14:paraId="4F195103" w14:textId="347A218E"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La directora gerente del Fondo Monetario Internacional (FMI), </w:t>
      </w:r>
      <w:proofErr w:type="spellStart"/>
      <w:r w:rsidRPr="003D090B">
        <w:rPr>
          <w:rFonts w:ascii="Monsserrat" w:hAnsi="Monsserrat"/>
          <w:sz w:val="25"/>
          <w:szCs w:val="25"/>
        </w:rPr>
        <w:t>Kristalina</w:t>
      </w:r>
      <w:proofErr w:type="spellEnd"/>
      <w:r w:rsidRPr="003D090B">
        <w:rPr>
          <w:rFonts w:ascii="Monsserrat" w:hAnsi="Monsserrat"/>
          <w:sz w:val="25"/>
          <w:szCs w:val="25"/>
        </w:rPr>
        <w:t xml:space="preserve"> </w:t>
      </w:r>
      <w:proofErr w:type="spellStart"/>
      <w:r w:rsidRPr="003D090B">
        <w:rPr>
          <w:rFonts w:ascii="Monsserrat" w:hAnsi="Monsserrat"/>
          <w:sz w:val="25"/>
          <w:szCs w:val="25"/>
        </w:rPr>
        <w:t>Georgieva</w:t>
      </w:r>
      <w:proofErr w:type="spellEnd"/>
      <w:r w:rsidRPr="003D090B">
        <w:rPr>
          <w:rFonts w:ascii="Monsserrat" w:hAnsi="Monsserrat"/>
          <w:sz w:val="25"/>
          <w:szCs w:val="25"/>
        </w:rPr>
        <w:t>, dijo que el panorama de la economía mundial está “oscurecido significativamente” desde abril y que no descarta una recesión mundial el próximo año dados los elevados riesgos. “Va a ser un 2022 duro, pero quizá un 2023 aún mayor, los riesgos de una recesión aumentan para el 2023”.</w:t>
      </w:r>
    </w:p>
    <w:p w14:paraId="4C6618CE" w14:textId="77777777" w:rsidR="00C56C61" w:rsidRPr="003D090B" w:rsidRDefault="00C56C61" w:rsidP="00FD3EAB">
      <w:pPr>
        <w:jc w:val="both"/>
        <w:rPr>
          <w:rFonts w:ascii="Monsserrat" w:hAnsi="Monsserrat"/>
          <w:sz w:val="16"/>
          <w:szCs w:val="16"/>
        </w:rPr>
      </w:pPr>
    </w:p>
    <w:p w14:paraId="1945B489" w14:textId="03D276F9" w:rsidR="00FD3EAB" w:rsidRPr="003D090B" w:rsidRDefault="00FD3EAB" w:rsidP="00FD3EAB">
      <w:pPr>
        <w:jc w:val="both"/>
        <w:rPr>
          <w:rFonts w:ascii="Monsserrat" w:hAnsi="Monsserrat"/>
          <w:sz w:val="25"/>
          <w:szCs w:val="25"/>
        </w:rPr>
      </w:pPr>
      <w:r w:rsidRPr="003D090B">
        <w:rPr>
          <w:rFonts w:ascii="Monsserrat" w:hAnsi="Monsserrat"/>
          <w:sz w:val="25"/>
          <w:szCs w:val="25"/>
        </w:rPr>
        <w:t>La funcionaria del FMI, se basa por la observación generalizada de la inflación, un alza sustancial de las tasas de interés, una desaceleración del crecimiento económico en China y la escalada de sanciones a Rusia por invadir Ucrania.</w:t>
      </w:r>
    </w:p>
    <w:p w14:paraId="3C2AE3A8" w14:textId="77777777" w:rsidR="00C56C61" w:rsidRPr="003D090B" w:rsidRDefault="00C56C61" w:rsidP="00FD3EAB">
      <w:pPr>
        <w:jc w:val="both"/>
        <w:rPr>
          <w:rFonts w:ascii="Monsserrat" w:hAnsi="Monsserrat"/>
          <w:sz w:val="20"/>
          <w:szCs w:val="20"/>
        </w:rPr>
      </w:pPr>
    </w:p>
    <w:p w14:paraId="222BBA72" w14:textId="546C7C85" w:rsidR="00FD3EAB" w:rsidRPr="003D090B" w:rsidRDefault="00FD3EAB" w:rsidP="00FD3EAB">
      <w:pPr>
        <w:jc w:val="both"/>
        <w:rPr>
          <w:rFonts w:ascii="Monsserrat" w:hAnsi="Monsserrat"/>
          <w:sz w:val="25"/>
          <w:szCs w:val="25"/>
        </w:rPr>
      </w:pPr>
      <w:r w:rsidRPr="003D090B">
        <w:rPr>
          <w:rFonts w:ascii="Monsserrat" w:hAnsi="Monsserrat"/>
          <w:sz w:val="25"/>
          <w:szCs w:val="25"/>
        </w:rPr>
        <w:t>Dentro del panorama mundial, como ejemplo lo que está y se espera de la economía de los Estados Unidos no es nada alentador, ya que, si llegara a reportar una contracción del Producto Interno Bruto, se tendría que declarar técnicamente que su economía estaría en periodo de recesión. Por ende, México sería el primer país en padecer los efectos y consecuencias por ser uno de los socios comerciales más importante los Estados Unidos de América.</w:t>
      </w:r>
    </w:p>
    <w:p w14:paraId="60F1E802" w14:textId="77777777" w:rsidR="00C56C61" w:rsidRPr="003D090B" w:rsidRDefault="00C56C61" w:rsidP="00FD3EAB">
      <w:pPr>
        <w:jc w:val="both"/>
        <w:rPr>
          <w:rFonts w:ascii="Monsserrat" w:hAnsi="Monsserrat"/>
          <w:sz w:val="20"/>
          <w:szCs w:val="20"/>
        </w:rPr>
      </w:pPr>
    </w:p>
    <w:p w14:paraId="029C769E" w14:textId="3B5E91EF" w:rsidR="00FD3EAB" w:rsidRPr="003D090B" w:rsidRDefault="00FD3EAB" w:rsidP="00FD3EAB">
      <w:pPr>
        <w:jc w:val="both"/>
        <w:rPr>
          <w:rFonts w:ascii="Monsserrat" w:hAnsi="Monsserrat"/>
          <w:sz w:val="25"/>
          <w:szCs w:val="25"/>
        </w:rPr>
      </w:pPr>
      <w:r w:rsidRPr="003D090B">
        <w:rPr>
          <w:rFonts w:ascii="Monsserrat" w:hAnsi="Monsserrat"/>
          <w:b/>
          <w:bCs/>
          <w:sz w:val="25"/>
          <w:szCs w:val="25"/>
        </w:rPr>
        <w:t xml:space="preserve">MÉXICO. </w:t>
      </w:r>
      <w:r w:rsidRPr="003D090B">
        <w:rPr>
          <w:rFonts w:ascii="Monsserrat" w:hAnsi="Monsserrat"/>
          <w:sz w:val="25"/>
          <w:szCs w:val="25"/>
        </w:rPr>
        <w:t>La economía mexicana en el mes de junio ha reportado una leve alza, muy significativa, a pesar de los eventos que han incidido en el crecimiento económico (covid-19, invasión rusa a Ucrania, inflación y tasa alta de interés) no le han favorecido de manera igual que las demás economías restos del mundo. México tiene un gran reto y debe de aplicar las estrategias bien sustentadas para sobresalir ante los embates de una continua alza inflacionaria y una manifestación crecimiento débil de su economía.</w:t>
      </w:r>
    </w:p>
    <w:p w14:paraId="3611454F" w14:textId="77777777" w:rsidR="00C56C61" w:rsidRPr="003D090B" w:rsidRDefault="00C56C61" w:rsidP="00FD3EAB">
      <w:pPr>
        <w:jc w:val="both"/>
        <w:rPr>
          <w:rFonts w:ascii="Monsserrat" w:hAnsi="Monsserrat"/>
          <w:sz w:val="20"/>
          <w:szCs w:val="20"/>
        </w:rPr>
      </w:pPr>
    </w:p>
    <w:p w14:paraId="477F3EA6" w14:textId="4F9CA61D" w:rsidR="00FD3EAB" w:rsidRPr="003D090B" w:rsidRDefault="00FD3EAB" w:rsidP="00FD3EAB">
      <w:pPr>
        <w:jc w:val="both"/>
        <w:rPr>
          <w:rFonts w:ascii="Monsserrat" w:hAnsi="Monsserrat"/>
          <w:sz w:val="25"/>
          <w:szCs w:val="25"/>
        </w:rPr>
      </w:pPr>
      <w:r w:rsidRPr="003D090B">
        <w:rPr>
          <w:rFonts w:ascii="Monsserrat" w:hAnsi="Monsserrat"/>
          <w:sz w:val="25"/>
          <w:szCs w:val="25"/>
        </w:rPr>
        <w:t>El Instituto Mexicano de Ejecutivos de Finanzas (</w:t>
      </w:r>
      <w:proofErr w:type="spellStart"/>
      <w:r w:rsidRPr="003D090B">
        <w:rPr>
          <w:rFonts w:ascii="Monsserrat" w:hAnsi="Monsserrat"/>
          <w:sz w:val="25"/>
          <w:szCs w:val="25"/>
        </w:rPr>
        <w:t>IMEF</w:t>
      </w:r>
      <w:proofErr w:type="spellEnd"/>
      <w:r w:rsidRPr="003D090B">
        <w:rPr>
          <w:rFonts w:ascii="Monsserrat" w:hAnsi="Monsserrat"/>
          <w:sz w:val="25"/>
          <w:szCs w:val="25"/>
        </w:rPr>
        <w:t xml:space="preserve">) como medida de valoración anticipada de una economía, se fija en sus indicadores clave de la producción manufactureras, consumo y de servicios. El Indicador </w:t>
      </w:r>
      <w:proofErr w:type="spellStart"/>
      <w:r w:rsidRPr="003D090B">
        <w:rPr>
          <w:rFonts w:ascii="Monsserrat" w:hAnsi="Monsserrat"/>
          <w:sz w:val="25"/>
          <w:szCs w:val="25"/>
        </w:rPr>
        <w:t>IMEF</w:t>
      </w:r>
      <w:proofErr w:type="spellEnd"/>
      <w:r w:rsidRPr="003D090B">
        <w:rPr>
          <w:rFonts w:ascii="Monsserrat" w:hAnsi="Monsserrat"/>
          <w:sz w:val="25"/>
          <w:szCs w:val="25"/>
        </w:rPr>
        <w:t xml:space="preserve"> varía en un intervalo de 0 a 100 puntos y el nivel de 50 puntos representa el umbral entre una expansión (mayor a 50) y una contracción (menor a 50), de la actividad económica. Uno de ellos es el Indicador </w:t>
      </w:r>
      <w:proofErr w:type="spellStart"/>
      <w:r w:rsidRPr="003D090B">
        <w:rPr>
          <w:rFonts w:ascii="Monsserrat" w:hAnsi="Monsserrat"/>
          <w:sz w:val="25"/>
          <w:szCs w:val="25"/>
        </w:rPr>
        <w:t>IMEF</w:t>
      </w:r>
      <w:proofErr w:type="spellEnd"/>
      <w:r w:rsidRPr="003D090B">
        <w:rPr>
          <w:rFonts w:ascii="Monsserrat" w:hAnsi="Monsserrat"/>
          <w:sz w:val="25"/>
          <w:szCs w:val="25"/>
        </w:rPr>
        <w:t xml:space="preserve"> Manufacturero, que en junio hilvanó dos meses en declive y regresó a zona de contracción. Por primera vez desde enero se contrajo al registrar </w:t>
      </w:r>
      <w:r w:rsidRPr="003D090B">
        <w:rPr>
          <w:rFonts w:ascii="Monsserrat" w:hAnsi="Monsserrat"/>
          <w:sz w:val="25"/>
          <w:szCs w:val="25"/>
        </w:rPr>
        <w:lastRenderedPageBreak/>
        <w:t>una puntuación por debajo de los 50 puntos debido al encarecimiento de insumos rompiendo así una racha consecutiva de cuatro meses en los que estuvo en la zona de expansión.</w:t>
      </w:r>
    </w:p>
    <w:p w14:paraId="479D8C23" w14:textId="77777777" w:rsidR="00C56C61" w:rsidRPr="003D090B" w:rsidRDefault="00C56C61" w:rsidP="00FD3EAB">
      <w:pPr>
        <w:jc w:val="both"/>
        <w:rPr>
          <w:rFonts w:ascii="Monsserrat" w:hAnsi="Monsserrat"/>
          <w:sz w:val="25"/>
          <w:szCs w:val="25"/>
        </w:rPr>
      </w:pPr>
    </w:p>
    <w:p w14:paraId="7793496F" w14:textId="0216003F"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El indicador </w:t>
      </w:r>
      <w:proofErr w:type="spellStart"/>
      <w:r w:rsidRPr="003D090B">
        <w:rPr>
          <w:rFonts w:ascii="Monsserrat" w:hAnsi="Monsserrat"/>
          <w:sz w:val="25"/>
          <w:szCs w:val="25"/>
        </w:rPr>
        <w:t>IMEF</w:t>
      </w:r>
      <w:proofErr w:type="spellEnd"/>
      <w:r w:rsidRPr="003D090B">
        <w:rPr>
          <w:rFonts w:ascii="Monsserrat" w:hAnsi="Monsserrat"/>
          <w:sz w:val="25"/>
          <w:szCs w:val="25"/>
        </w:rPr>
        <w:t xml:space="preserve"> no manufacturero, se mantuvo cinco meses en la zona de expansión por arriba del umbral de los 50 puntos.</w:t>
      </w:r>
    </w:p>
    <w:p w14:paraId="21142916" w14:textId="77777777" w:rsidR="00C56C61" w:rsidRPr="003D090B" w:rsidRDefault="00C56C61" w:rsidP="00FD3EAB">
      <w:pPr>
        <w:jc w:val="both"/>
        <w:rPr>
          <w:rFonts w:ascii="Monsserrat" w:hAnsi="Monsserrat"/>
          <w:sz w:val="25"/>
          <w:szCs w:val="25"/>
        </w:rPr>
      </w:pPr>
    </w:p>
    <w:p w14:paraId="68752414" w14:textId="1D78ED50" w:rsidR="00FD3EAB" w:rsidRPr="003D090B" w:rsidRDefault="00FD3EAB" w:rsidP="00FD3EAB">
      <w:pPr>
        <w:jc w:val="both"/>
        <w:rPr>
          <w:rFonts w:ascii="Monsserrat" w:hAnsi="Monsserrat" w:cs="Courier New"/>
          <w:sz w:val="25"/>
          <w:szCs w:val="25"/>
        </w:rPr>
      </w:pPr>
      <w:r w:rsidRPr="003D090B">
        <w:rPr>
          <w:rFonts w:ascii="Monsserrat" w:hAnsi="Monsserrat"/>
          <w:sz w:val="25"/>
          <w:szCs w:val="25"/>
        </w:rPr>
        <w:t xml:space="preserve">“En el agregado, los indicadores </w:t>
      </w:r>
      <w:proofErr w:type="spellStart"/>
      <w:r w:rsidRPr="003D090B">
        <w:rPr>
          <w:rFonts w:ascii="Monsserrat" w:hAnsi="Monsserrat"/>
          <w:sz w:val="25"/>
          <w:szCs w:val="25"/>
        </w:rPr>
        <w:t>IMEF</w:t>
      </w:r>
      <w:proofErr w:type="spellEnd"/>
      <w:r w:rsidRPr="003D090B">
        <w:rPr>
          <w:rFonts w:ascii="Monsserrat" w:hAnsi="Monsserrat"/>
          <w:sz w:val="25"/>
          <w:szCs w:val="25"/>
        </w:rPr>
        <w:t xml:space="preserve"> del segundo trimestre nos anticipan un crecimiento de la economía con respecto al primer trimestre, aunque a un menor ritmo. De hecho, los últimos indicadores disponibles muestran que la economía mexicana mantiene una expansión menos vigorosa que lo observado en los primeros meses de 2022</w:t>
      </w:r>
      <w:r w:rsidRPr="003D090B">
        <w:rPr>
          <w:rFonts w:ascii="Monsserrat" w:hAnsi="Monsserrat" w:cs="Courier New"/>
          <w:sz w:val="25"/>
          <w:szCs w:val="25"/>
        </w:rPr>
        <w:t>″</w:t>
      </w:r>
      <w:bookmarkStart w:id="3" w:name="_Hlk108433552"/>
    </w:p>
    <w:p w14:paraId="4334E902" w14:textId="77777777" w:rsidR="00C56C61" w:rsidRPr="003D090B" w:rsidRDefault="00C56C61" w:rsidP="00FD3EAB">
      <w:pPr>
        <w:jc w:val="both"/>
        <w:rPr>
          <w:rFonts w:ascii="Monsserrat" w:hAnsi="Monsserrat" w:cs="Courier New"/>
          <w:sz w:val="25"/>
          <w:szCs w:val="25"/>
        </w:rPr>
      </w:pPr>
    </w:p>
    <w:bookmarkEnd w:id="3"/>
    <w:p w14:paraId="70F5FDBC" w14:textId="54CF3303"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Los analistas del sector privado encuestados por el Banco de México (Banxico) no se muestran optimistas, volvieron a revisar el Producto Interno Bruto (PIB) de México </w:t>
      </w:r>
      <w:proofErr w:type="gramStart"/>
      <w:r w:rsidRPr="003D090B">
        <w:rPr>
          <w:rFonts w:ascii="Monsserrat" w:hAnsi="Monsserrat"/>
          <w:sz w:val="25"/>
          <w:szCs w:val="25"/>
        </w:rPr>
        <w:t>a pesar que</w:t>
      </w:r>
      <w:proofErr w:type="gramEnd"/>
      <w:r w:rsidRPr="003D090B">
        <w:rPr>
          <w:rFonts w:ascii="Monsserrat" w:hAnsi="Monsserrat"/>
          <w:sz w:val="25"/>
          <w:szCs w:val="25"/>
        </w:rPr>
        <w:t xml:space="preserve"> durante el primer trimestre del año logró un crecimiento de 1 por ciento y para el segundo trimestre esperan que crezca 0.4 por ciento y no esperan para el tercero y cuarto </w:t>
      </w:r>
      <w:r w:rsidR="00C56C61" w:rsidRPr="003D090B">
        <w:rPr>
          <w:rFonts w:ascii="Monsserrat" w:hAnsi="Monsserrat"/>
          <w:sz w:val="25"/>
          <w:szCs w:val="25"/>
        </w:rPr>
        <w:t>trimestres mejor resultados</w:t>
      </w:r>
      <w:r w:rsidRPr="003D090B">
        <w:rPr>
          <w:rFonts w:ascii="Monsserrat" w:hAnsi="Monsserrat"/>
          <w:sz w:val="25"/>
          <w:szCs w:val="25"/>
        </w:rPr>
        <w:t>, sino que esperan será al mismo nivel del segundo.</w:t>
      </w:r>
    </w:p>
    <w:p w14:paraId="01A4B558" w14:textId="77777777" w:rsidR="00C56C61" w:rsidRPr="003D090B" w:rsidRDefault="00C56C61" w:rsidP="00FD3EAB">
      <w:pPr>
        <w:jc w:val="both"/>
        <w:rPr>
          <w:rFonts w:ascii="Monsserrat" w:hAnsi="Monsserrat"/>
          <w:sz w:val="25"/>
          <w:szCs w:val="25"/>
        </w:rPr>
      </w:pPr>
    </w:p>
    <w:p w14:paraId="281419C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Quiere decir que la incipiente mejora de la actividad económica que se presentó a principios de 2022 ya perdió impulso, con lo que el PIB de México registrará un desempeño débil, cercano al estancamiento, durante el resto del año.</w:t>
      </w:r>
    </w:p>
    <w:p w14:paraId="262D79CD" w14:textId="2BE4DB46" w:rsidR="00FD3EAB" w:rsidRPr="003D090B" w:rsidRDefault="00FD3EAB" w:rsidP="00FD3EAB">
      <w:pPr>
        <w:jc w:val="both"/>
        <w:rPr>
          <w:rFonts w:ascii="Monsserrat" w:hAnsi="Monsserrat"/>
          <w:sz w:val="25"/>
          <w:szCs w:val="25"/>
        </w:rPr>
      </w:pPr>
      <w:r w:rsidRPr="003D090B">
        <w:rPr>
          <w:rFonts w:ascii="Monsserrat" w:hAnsi="Monsserrat"/>
          <w:sz w:val="25"/>
          <w:szCs w:val="25"/>
        </w:rPr>
        <w:t>En el caso de nuestro país, es notoria la debilidad de ciertos indicadores relacionados con el consumo de los hogares, como la confianza del consumidor y el gasto en alimentos.</w:t>
      </w:r>
    </w:p>
    <w:p w14:paraId="05BCD676" w14:textId="77777777" w:rsidR="00C56C61" w:rsidRPr="003D090B" w:rsidRDefault="00C56C61" w:rsidP="00FD3EAB">
      <w:pPr>
        <w:jc w:val="both"/>
        <w:rPr>
          <w:rFonts w:ascii="Monsserrat" w:hAnsi="Monsserrat"/>
          <w:sz w:val="25"/>
          <w:szCs w:val="25"/>
        </w:rPr>
      </w:pPr>
    </w:p>
    <w:p w14:paraId="39A68224" w14:textId="77777777" w:rsidR="00FD3EAB" w:rsidRPr="003D090B" w:rsidRDefault="00FD3EAB" w:rsidP="00FD3EAB">
      <w:pPr>
        <w:jc w:val="both"/>
        <w:rPr>
          <w:rFonts w:ascii="Monsserrat" w:hAnsi="Monsserrat"/>
          <w:sz w:val="25"/>
          <w:szCs w:val="25"/>
        </w:rPr>
      </w:pPr>
      <w:r w:rsidRPr="003D090B">
        <w:rPr>
          <w:rFonts w:ascii="Monsserrat" w:hAnsi="Monsserrat"/>
          <w:b/>
          <w:bCs/>
          <w:sz w:val="25"/>
          <w:szCs w:val="25"/>
        </w:rPr>
        <w:t xml:space="preserve">Inflación. </w:t>
      </w:r>
      <w:r w:rsidRPr="003D090B">
        <w:rPr>
          <w:rFonts w:ascii="Monsserrat" w:hAnsi="Monsserrat"/>
          <w:sz w:val="25"/>
          <w:szCs w:val="25"/>
        </w:rPr>
        <w:t>Los precios de los alimentos han subido con rapidez y su encarecimiento no sólo afecta a los segmentos más vulnerables de la población, sino que empaña las perspectivas de inflación para el cierre del año, que siguen deteriorándose.</w:t>
      </w:r>
    </w:p>
    <w:p w14:paraId="43DB82A8" w14:textId="387C3207" w:rsidR="00FD3EAB" w:rsidRPr="003D090B" w:rsidRDefault="00FD3EAB" w:rsidP="00FD3EAB">
      <w:pPr>
        <w:jc w:val="both"/>
        <w:rPr>
          <w:rFonts w:ascii="Monsserrat" w:hAnsi="Monsserrat"/>
          <w:sz w:val="25"/>
          <w:szCs w:val="25"/>
        </w:rPr>
      </w:pPr>
      <w:r w:rsidRPr="003D090B">
        <w:rPr>
          <w:rFonts w:ascii="Monsserrat" w:hAnsi="Monsserrat"/>
          <w:sz w:val="25"/>
          <w:szCs w:val="25"/>
        </w:rPr>
        <w:t>La inflación en México no ha dejado de subir al grado que el mes de junio registró 7.99 porciento. No es consuelo de que sea la más baja de los países que forman parte de la Organización para el Cooperación y Desarrollo Económico (OCDE). El nivel que ha registrado le afecta muy fuerte a la población de bajos recursos; haciendo memoria, hace 21 años no se había visto una inflación cercana al 8 por ciento. Además, queda fuera del objetivo que Banxico que pretende manejar esta variable más menos 1 punto del 3 por ciento y no tiene para cuando alcance su punto de inflexión. Algunos especialistas opinan que el pico será alcanzado en el tercer trimestre, se espera se cumplan con los deseos que difiere con la realidad.</w:t>
      </w:r>
    </w:p>
    <w:p w14:paraId="0F98031F" w14:textId="77777777" w:rsidR="00C56C61" w:rsidRPr="003D090B" w:rsidRDefault="00C56C61" w:rsidP="00FD3EAB">
      <w:pPr>
        <w:jc w:val="both"/>
        <w:rPr>
          <w:rFonts w:ascii="Monsserrat" w:hAnsi="Monsserrat"/>
          <w:sz w:val="25"/>
          <w:szCs w:val="25"/>
        </w:rPr>
      </w:pPr>
    </w:p>
    <w:p w14:paraId="5730503B" w14:textId="55BC882A" w:rsidR="00FD3EAB" w:rsidRPr="003D090B" w:rsidRDefault="00FD3EAB" w:rsidP="00FD3EAB">
      <w:pPr>
        <w:jc w:val="both"/>
        <w:rPr>
          <w:rFonts w:ascii="Monsserrat" w:hAnsi="Monsserrat"/>
          <w:sz w:val="25"/>
          <w:szCs w:val="25"/>
        </w:rPr>
      </w:pPr>
      <w:r w:rsidRPr="003D090B">
        <w:rPr>
          <w:rFonts w:ascii="Monsserrat" w:hAnsi="Monsserrat"/>
          <w:sz w:val="25"/>
          <w:szCs w:val="25"/>
        </w:rPr>
        <w:lastRenderedPageBreak/>
        <w:t>“En México, los precios se han vuelto el principal foco de preocupación en los hogares y empresas. En foco rojo se encuentran las alzas de precios de alimentos. Las frutas y verduras registran incrementos anualizados de 14.39%; los productos pecuarios traen alzas de 15.51%; los aceites comestibles subieron 33%, la harina de trigo, 28% y la naranja 24 por ciento. Todo esto no se compensa con saber que las televisiones bajaron 2.53 por ciento”. (El Economista).</w:t>
      </w:r>
    </w:p>
    <w:p w14:paraId="3CC08D2C" w14:textId="77777777" w:rsidR="00C56C61" w:rsidRPr="003D090B" w:rsidRDefault="00C56C61" w:rsidP="00FD3EAB">
      <w:pPr>
        <w:jc w:val="both"/>
        <w:rPr>
          <w:rFonts w:ascii="Monsserrat" w:hAnsi="Monsserrat"/>
          <w:sz w:val="25"/>
          <w:szCs w:val="25"/>
        </w:rPr>
      </w:pPr>
    </w:p>
    <w:p w14:paraId="7382C22B" w14:textId="41F4A9A0"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“¿Seguirá siendo México la estrella de la OCDE? El arma antiinflacionaria más potente ha sido el subsidio a los precios de las gasolinas. En el primer semestre costó 159,000 millones de pesos y sirvió para evitar que la inflación llegara a 11%, estima Alonso Cervera, economista en jefe de </w:t>
      </w:r>
      <w:proofErr w:type="spellStart"/>
      <w:r w:rsidRPr="003D090B">
        <w:rPr>
          <w:rFonts w:ascii="Monsserrat" w:hAnsi="Monsserrat"/>
          <w:sz w:val="25"/>
          <w:szCs w:val="25"/>
        </w:rPr>
        <w:t>Credit</w:t>
      </w:r>
      <w:proofErr w:type="spellEnd"/>
      <w:r w:rsidRPr="003D090B">
        <w:rPr>
          <w:rFonts w:ascii="Monsserrat" w:hAnsi="Monsserrat"/>
          <w:sz w:val="25"/>
          <w:szCs w:val="25"/>
        </w:rPr>
        <w:t xml:space="preserve"> </w:t>
      </w:r>
      <w:proofErr w:type="spellStart"/>
      <w:r w:rsidRPr="003D090B">
        <w:rPr>
          <w:rFonts w:ascii="Monsserrat" w:hAnsi="Monsserrat"/>
          <w:sz w:val="25"/>
          <w:szCs w:val="25"/>
        </w:rPr>
        <w:t>Suisse</w:t>
      </w:r>
      <w:proofErr w:type="spellEnd"/>
      <w:r w:rsidRPr="003D090B">
        <w:rPr>
          <w:rFonts w:ascii="Monsserrat" w:hAnsi="Monsserrat"/>
          <w:sz w:val="25"/>
          <w:szCs w:val="25"/>
        </w:rPr>
        <w:t>. La gran duda es si esto será sostenible en el tiempo. Nadie quiere más inflación, pero lo gastado en frenar el alza de la gasolina es una montaña de dinero y podría servir para otros fines, entre ellos resolver los problemas de infraestructura del agua en todo el país y acabar con el desabasto de las medicinas.” (El Economista).</w:t>
      </w:r>
    </w:p>
    <w:p w14:paraId="621C3464" w14:textId="77777777" w:rsidR="00C56C61" w:rsidRPr="003D090B" w:rsidRDefault="00C56C61" w:rsidP="00FD3EAB">
      <w:pPr>
        <w:jc w:val="both"/>
        <w:rPr>
          <w:rFonts w:ascii="Monsserrat" w:hAnsi="Monsserrat"/>
          <w:sz w:val="25"/>
          <w:szCs w:val="25"/>
        </w:rPr>
      </w:pPr>
    </w:p>
    <w:p w14:paraId="7A5FEA8C"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La gráfica que “El Economista” emitió con el tema “La Inflación Galopante en México alcanza 7.99% en junio” de 2022, es sorprendente que en dos años haya tenido un comportamiento alcista. Los agropecuarios y alimentos procesados son los rubros en los que se registran los incrementos más pronunciados de precios.</w:t>
      </w:r>
    </w:p>
    <w:p w14:paraId="4CB5F1AC" w14:textId="25BE11EA" w:rsidR="00FD3EAB" w:rsidRPr="003D090B" w:rsidRDefault="00FD3EAB" w:rsidP="00FD3EAB">
      <w:pPr>
        <w:jc w:val="both"/>
        <w:rPr>
          <w:rFonts w:ascii="Monsserrat" w:hAnsi="Monsserrat"/>
          <w:sz w:val="25"/>
          <w:szCs w:val="25"/>
        </w:rPr>
      </w:pPr>
      <w:r w:rsidRPr="003D090B">
        <w:rPr>
          <w:rFonts w:ascii="Monsserrat" w:hAnsi="Monsserrat"/>
          <w:sz w:val="25"/>
          <w:szCs w:val="25"/>
        </w:rPr>
        <w:t>Ante esta tendencia, el Banco de México continúa incrementando la tasa de interés de referencia en línea con las alzas aplicadas por la FED y otros bancos centrales alrededor del mundo.</w:t>
      </w:r>
    </w:p>
    <w:p w14:paraId="07C203FF" w14:textId="77777777" w:rsidR="00AC0D24" w:rsidRPr="003D090B" w:rsidRDefault="00AC0D24" w:rsidP="00FD3EAB">
      <w:pPr>
        <w:jc w:val="both"/>
        <w:rPr>
          <w:rFonts w:ascii="Monsserrat" w:hAnsi="Monsserrat"/>
          <w:sz w:val="25"/>
          <w:szCs w:val="25"/>
        </w:rPr>
      </w:pPr>
    </w:p>
    <w:p w14:paraId="7B053437" w14:textId="77777777" w:rsidR="00FD3EAB" w:rsidRPr="003D090B" w:rsidRDefault="00FD3EAB" w:rsidP="00AC0D24">
      <w:pPr>
        <w:jc w:val="center"/>
        <w:rPr>
          <w:rFonts w:ascii="Monsserrat" w:hAnsi="Monsserrat"/>
          <w:sz w:val="25"/>
          <w:szCs w:val="25"/>
        </w:rPr>
      </w:pPr>
      <w:r w:rsidRPr="003D090B">
        <w:rPr>
          <w:rFonts w:ascii="Monsserrat" w:hAnsi="Monsserrat"/>
          <w:noProof/>
          <w:sz w:val="25"/>
          <w:szCs w:val="25"/>
          <w:lang w:val="es-MX"/>
        </w:rPr>
        <w:drawing>
          <wp:inline distT="0" distB="0" distL="0" distR="0" wp14:anchorId="29C2805B" wp14:editId="697BD557">
            <wp:extent cx="3648075" cy="27066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763" t="33795" r="51460" b="11085"/>
                    <a:stretch/>
                  </pic:blipFill>
                  <pic:spPr bwMode="auto">
                    <a:xfrm>
                      <a:off x="0" y="0"/>
                      <a:ext cx="3652685" cy="2710056"/>
                    </a:xfrm>
                    <a:prstGeom prst="rect">
                      <a:avLst/>
                    </a:prstGeom>
                    <a:ln>
                      <a:noFill/>
                    </a:ln>
                    <a:extLst>
                      <a:ext uri="{53640926-AAD7-44D8-BBD7-CCE9431645EC}">
                        <a14:shadowObscured xmlns:a14="http://schemas.microsoft.com/office/drawing/2010/main"/>
                      </a:ext>
                    </a:extLst>
                  </pic:spPr>
                </pic:pic>
              </a:graphicData>
            </a:graphic>
          </wp:inline>
        </w:drawing>
      </w:r>
    </w:p>
    <w:p w14:paraId="11B10EEE" w14:textId="77777777" w:rsidR="00FD3EAB" w:rsidRPr="003D090B" w:rsidRDefault="00FD3EAB" w:rsidP="00FD3EAB">
      <w:pPr>
        <w:jc w:val="both"/>
        <w:rPr>
          <w:rFonts w:ascii="Monsserrat" w:hAnsi="Monsserrat"/>
          <w:sz w:val="25"/>
          <w:szCs w:val="25"/>
        </w:rPr>
      </w:pPr>
    </w:p>
    <w:p w14:paraId="50967822" w14:textId="4EB45FCB" w:rsidR="00FD3EAB" w:rsidRPr="003D090B" w:rsidRDefault="00FD3EAB" w:rsidP="00FD3EAB">
      <w:pPr>
        <w:jc w:val="both"/>
        <w:rPr>
          <w:rFonts w:ascii="Monsserrat" w:hAnsi="Monsserrat"/>
          <w:sz w:val="25"/>
          <w:szCs w:val="25"/>
        </w:rPr>
      </w:pPr>
      <w:r w:rsidRPr="003D090B">
        <w:rPr>
          <w:rFonts w:ascii="Monsserrat" w:hAnsi="Monsserrat"/>
          <w:b/>
          <w:bCs/>
          <w:sz w:val="25"/>
          <w:szCs w:val="25"/>
        </w:rPr>
        <w:lastRenderedPageBreak/>
        <w:t>Tasa de Referencia.</w:t>
      </w:r>
      <w:r w:rsidRPr="003D090B">
        <w:rPr>
          <w:rFonts w:ascii="Monsserrat" w:hAnsi="Monsserrat"/>
          <w:sz w:val="25"/>
          <w:szCs w:val="25"/>
        </w:rPr>
        <w:t xml:space="preserve"> La función más importante del Banxico trata de vigilar el comportamiento de la inflación. Debido de la escalada de esta variable el mes pasado aplicó un incremento de 75 </w:t>
      </w:r>
      <w:proofErr w:type="gramStart"/>
      <w:r w:rsidRPr="003D090B">
        <w:rPr>
          <w:rFonts w:ascii="Monsserrat" w:hAnsi="Monsserrat"/>
          <w:sz w:val="25"/>
          <w:szCs w:val="25"/>
        </w:rPr>
        <w:t>puntos bases</w:t>
      </w:r>
      <w:proofErr w:type="gramEnd"/>
      <w:r w:rsidRPr="003D090B">
        <w:rPr>
          <w:rFonts w:ascii="Monsserrat" w:hAnsi="Monsserrat"/>
          <w:sz w:val="25"/>
          <w:szCs w:val="25"/>
        </w:rPr>
        <w:t xml:space="preserve"> llevando la tasa referencia a un nivel de 7.75 por ciento como medida para controlar la galopante inflación. La próxima reunión de la Junta de Gobierno de México será para el 11 de agosto se pronostica que podría presentarse un nuevo incremento que oscila en 75 a 100 puntos base en una sola exhibición.</w:t>
      </w:r>
    </w:p>
    <w:p w14:paraId="78CBCBE1" w14:textId="77777777" w:rsidR="00C56C61" w:rsidRPr="003D090B" w:rsidRDefault="00C56C61" w:rsidP="00FD3EAB">
      <w:pPr>
        <w:jc w:val="both"/>
        <w:rPr>
          <w:rFonts w:ascii="Monsserrat" w:hAnsi="Monsserrat"/>
          <w:sz w:val="25"/>
          <w:szCs w:val="25"/>
        </w:rPr>
      </w:pPr>
    </w:p>
    <w:p w14:paraId="378B889E" w14:textId="77777777" w:rsidR="00FD3EAB" w:rsidRPr="003D090B" w:rsidRDefault="00FD3EAB" w:rsidP="00FD3EAB">
      <w:pPr>
        <w:jc w:val="both"/>
        <w:rPr>
          <w:rFonts w:ascii="Monsserrat" w:hAnsi="Monsserrat"/>
          <w:sz w:val="25"/>
          <w:szCs w:val="25"/>
        </w:rPr>
      </w:pPr>
      <w:r w:rsidRPr="003D090B">
        <w:rPr>
          <w:rFonts w:ascii="Monsserrat" w:hAnsi="Monsserrat"/>
          <w:b/>
          <w:sz w:val="25"/>
          <w:szCs w:val="25"/>
        </w:rPr>
        <w:t>Producto Interno Bruto (PIB)</w:t>
      </w:r>
      <w:r w:rsidRPr="003D090B">
        <w:rPr>
          <w:rFonts w:ascii="Monsserrat" w:hAnsi="Monsserrat"/>
          <w:sz w:val="25"/>
          <w:szCs w:val="25"/>
        </w:rPr>
        <w:t>. En el primer trimestre de 2022 el producto interno bruto de México tuvo un 1.8% de variación respecto a igual al trimestre del año anterior y respecto al trimestre previo fue un crecimiento de 1.0%</w:t>
      </w:r>
    </w:p>
    <w:p w14:paraId="7F04EE2F" w14:textId="77777777" w:rsidR="00FD3EAB" w:rsidRPr="003D090B" w:rsidRDefault="00FD3EAB" w:rsidP="00FD3EAB">
      <w:pPr>
        <w:tabs>
          <w:tab w:val="left" w:pos="2550"/>
        </w:tabs>
        <w:jc w:val="both"/>
        <w:rPr>
          <w:rFonts w:ascii="Monsserrat" w:hAnsi="Monsserrat"/>
          <w:sz w:val="25"/>
          <w:szCs w:val="25"/>
        </w:rPr>
      </w:pPr>
      <w:bookmarkStart w:id="4" w:name="_Hlk108447335"/>
      <w:r w:rsidRPr="003D090B">
        <w:rPr>
          <w:rFonts w:ascii="Monsserrat" w:hAnsi="Monsserrat"/>
          <w:noProof/>
          <w:sz w:val="25"/>
          <w:szCs w:val="25"/>
          <w:lang w:val="es-MX"/>
        </w:rPr>
        <w:drawing>
          <wp:inline distT="0" distB="0" distL="0" distR="0" wp14:anchorId="42B7E8E2" wp14:editId="246E0C15">
            <wp:extent cx="5642610" cy="2990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29" t="18507" r="28717" b="27359"/>
                    <a:stretch/>
                  </pic:blipFill>
                  <pic:spPr bwMode="auto">
                    <a:xfrm>
                      <a:off x="0" y="0"/>
                      <a:ext cx="5654756" cy="2997288"/>
                    </a:xfrm>
                    <a:prstGeom prst="rect">
                      <a:avLst/>
                    </a:prstGeom>
                    <a:ln>
                      <a:noFill/>
                    </a:ln>
                    <a:extLst>
                      <a:ext uri="{53640926-AAD7-44D8-BBD7-CCE9431645EC}">
                        <a14:shadowObscured xmlns:a14="http://schemas.microsoft.com/office/drawing/2010/main"/>
                      </a:ext>
                    </a:extLst>
                  </pic:spPr>
                </pic:pic>
              </a:graphicData>
            </a:graphic>
          </wp:inline>
        </w:drawing>
      </w:r>
    </w:p>
    <w:p w14:paraId="7B328AA4" w14:textId="77777777" w:rsidR="00FD3EAB" w:rsidRPr="003D090B" w:rsidRDefault="00FD3EAB" w:rsidP="00FD3EAB">
      <w:pPr>
        <w:tabs>
          <w:tab w:val="left" w:pos="2550"/>
        </w:tabs>
        <w:jc w:val="both"/>
        <w:rPr>
          <w:rFonts w:ascii="Monsserrat" w:hAnsi="Monsserrat"/>
          <w:sz w:val="25"/>
          <w:szCs w:val="25"/>
        </w:rPr>
      </w:pPr>
      <w:r w:rsidRPr="003D090B">
        <w:rPr>
          <w:rFonts w:ascii="Monsserrat" w:hAnsi="Monsserrat"/>
          <w:sz w:val="25"/>
          <w:szCs w:val="25"/>
        </w:rPr>
        <w:t>Producto Interno Bruto Trimestral, cifras desestacionalizadas. Valore</w:t>
      </w:r>
      <w:bookmarkEnd w:id="4"/>
      <w:r w:rsidRPr="003D090B">
        <w:rPr>
          <w:rFonts w:ascii="Monsserrat" w:hAnsi="Monsserrat"/>
          <w:sz w:val="25"/>
          <w:szCs w:val="25"/>
        </w:rPr>
        <w:t>s</w:t>
      </w:r>
    </w:p>
    <w:p w14:paraId="5CFDA24C" w14:textId="77777777" w:rsidR="00FD3EAB" w:rsidRPr="003D090B" w:rsidRDefault="00FD3EAB" w:rsidP="00FD3EAB">
      <w:pPr>
        <w:jc w:val="both"/>
        <w:rPr>
          <w:rFonts w:ascii="Monsserrat" w:hAnsi="Monsserrat"/>
          <w:sz w:val="25"/>
          <w:szCs w:val="25"/>
        </w:rPr>
      </w:pPr>
      <w:r w:rsidRPr="003D090B">
        <w:rPr>
          <w:rFonts w:ascii="Monsserrat" w:hAnsi="Monsserrat"/>
          <w:noProof/>
          <w:sz w:val="25"/>
          <w:szCs w:val="25"/>
          <w:lang w:val="es-MX"/>
        </w:rPr>
        <w:lastRenderedPageBreak/>
        <w:drawing>
          <wp:inline distT="0" distB="0" distL="0" distR="0" wp14:anchorId="2CD23D46" wp14:editId="18857063">
            <wp:extent cx="5492750" cy="3511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51" t="32187" r="16158" b="26575"/>
                    <a:stretch/>
                  </pic:blipFill>
                  <pic:spPr bwMode="auto">
                    <a:xfrm>
                      <a:off x="0" y="0"/>
                      <a:ext cx="5492750" cy="3511550"/>
                    </a:xfrm>
                    <a:prstGeom prst="rect">
                      <a:avLst/>
                    </a:prstGeom>
                    <a:ln>
                      <a:noFill/>
                    </a:ln>
                    <a:extLst>
                      <a:ext uri="{53640926-AAD7-44D8-BBD7-CCE9431645EC}">
                        <a14:shadowObscured xmlns:a14="http://schemas.microsoft.com/office/drawing/2010/main"/>
                      </a:ext>
                    </a:extLst>
                  </pic:spPr>
                </pic:pic>
              </a:graphicData>
            </a:graphic>
          </wp:inline>
        </w:drawing>
      </w:r>
    </w:p>
    <w:p w14:paraId="09482D08" w14:textId="77777777" w:rsidR="00FD3EAB" w:rsidRPr="003D090B" w:rsidRDefault="00FD3EAB" w:rsidP="00FD3EAB">
      <w:pPr>
        <w:jc w:val="both"/>
        <w:rPr>
          <w:rFonts w:ascii="Monsserrat" w:hAnsi="Monsserrat"/>
          <w:sz w:val="25"/>
          <w:szCs w:val="25"/>
        </w:rPr>
      </w:pPr>
    </w:p>
    <w:p w14:paraId="30F44334" w14:textId="77777777" w:rsidR="00FD3EAB" w:rsidRPr="003D090B" w:rsidRDefault="00FD3EAB" w:rsidP="00FD3EAB">
      <w:pPr>
        <w:keepNext/>
        <w:jc w:val="both"/>
        <w:rPr>
          <w:rFonts w:ascii="Monsserrat" w:hAnsi="Monsserrat"/>
          <w:sz w:val="25"/>
          <w:szCs w:val="25"/>
        </w:rPr>
      </w:pPr>
      <w:r w:rsidRPr="003D090B">
        <w:rPr>
          <w:rFonts w:ascii="Monsserrat" w:hAnsi="Monsserrat"/>
          <w:sz w:val="25"/>
          <w:szCs w:val="25"/>
        </w:rPr>
        <w:t>Producto Interno Bruto Trimestral, cifras desestacionalizadas. Variación Anual.</w:t>
      </w:r>
    </w:p>
    <w:p w14:paraId="25C2FDAE" w14:textId="77777777" w:rsidR="00FD3EAB" w:rsidRPr="003D090B" w:rsidRDefault="00FD3EAB" w:rsidP="00FD3EAB">
      <w:pPr>
        <w:jc w:val="both"/>
        <w:rPr>
          <w:rFonts w:ascii="Monsserrat" w:hAnsi="Monsserrat"/>
          <w:sz w:val="25"/>
          <w:szCs w:val="25"/>
        </w:rPr>
      </w:pPr>
      <w:r w:rsidRPr="003D090B">
        <w:rPr>
          <w:rFonts w:ascii="Monsserrat" w:hAnsi="Monsserrat"/>
          <w:noProof/>
          <w:sz w:val="25"/>
          <w:szCs w:val="25"/>
          <w:lang w:val="es-MX"/>
        </w:rPr>
        <w:drawing>
          <wp:inline distT="0" distB="0" distL="0" distR="0" wp14:anchorId="52354428" wp14:editId="6084833A">
            <wp:extent cx="5778500" cy="213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39" t="37015" r="16045" b="23154"/>
                    <a:stretch/>
                  </pic:blipFill>
                  <pic:spPr bwMode="auto">
                    <a:xfrm>
                      <a:off x="0" y="0"/>
                      <a:ext cx="5778500" cy="2133600"/>
                    </a:xfrm>
                    <a:prstGeom prst="rect">
                      <a:avLst/>
                    </a:prstGeom>
                    <a:ln>
                      <a:noFill/>
                    </a:ln>
                    <a:extLst>
                      <a:ext uri="{53640926-AAD7-44D8-BBD7-CCE9431645EC}">
                        <a14:shadowObscured xmlns:a14="http://schemas.microsoft.com/office/drawing/2010/main"/>
                      </a:ext>
                    </a:extLst>
                  </pic:spPr>
                </pic:pic>
              </a:graphicData>
            </a:graphic>
          </wp:inline>
        </w:drawing>
      </w:r>
    </w:p>
    <w:p w14:paraId="448AC33E" w14:textId="77777777" w:rsidR="00FD3EAB" w:rsidRPr="003D090B" w:rsidRDefault="00FD3EAB" w:rsidP="00FD3EAB">
      <w:pPr>
        <w:jc w:val="both"/>
        <w:rPr>
          <w:rFonts w:ascii="Monsserrat" w:hAnsi="Monsserrat"/>
          <w:sz w:val="25"/>
          <w:szCs w:val="25"/>
        </w:rPr>
      </w:pPr>
    </w:p>
    <w:p w14:paraId="1A7102DC" w14:textId="77777777" w:rsidR="00FD3EAB" w:rsidRPr="003D090B" w:rsidRDefault="00FD3EAB" w:rsidP="00FD3EAB">
      <w:pPr>
        <w:jc w:val="both"/>
        <w:rPr>
          <w:rFonts w:ascii="Monsserrat" w:hAnsi="Monsserrat"/>
          <w:sz w:val="25"/>
          <w:szCs w:val="25"/>
        </w:rPr>
      </w:pPr>
      <w:r w:rsidRPr="003D090B">
        <w:rPr>
          <w:rFonts w:ascii="Monsserrat" w:hAnsi="Monsserrat"/>
          <w:b/>
          <w:bCs/>
          <w:sz w:val="25"/>
          <w:szCs w:val="25"/>
        </w:rPr>
        <w:t>Trabajadores formales inscritos en el Instituto Mexicano del Seguro Social (IMSS)</w:t>
      </w:r>
      <w:r w:rsidRPr="003D090B">
        <w:rPr>
          <w:rFonts w:ascii="Monsserrat" w:hAnsi="Monsserrat"/>
          <w:sz w:val="25"/>
          <w:szCs w:val="25"/>
        </w:rPr>
        <w:t>. La generación de empleos en México es el medio por el cual se puede medir el grado de crecimiento de un país y debe ser la prioridad de todo gobierno procurar las estrategias más sostenidas para que sus gobernados cuenten con los beneficios de una satisfacción en cubrir sus necesidades dentro de una sociedad.</w:t>
      </w:r>
    </w:p>
    <w:p w14:paraId="7C876385" w14:textId="3D596E79"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Los trabajadores asegurados en el IMSS en México al mes de junio de 2022 ascienden a 21,068,708, que representa un aumento del 4.43% respecto al mismo mes del año </w:t>
      </w:r>
      <w:r w:rsidRPr="003D090B">
        <w:rPr>
          <w:rFonts w:ascii="Monsserrat" w:hAnsi="Monsserrat"/>
          <w:sz w:val="25"/>
          <w:szCs w:val="25"/>
        </w:rPr>
        <w:lastRenderedPageBreak/>
        <w:t>anterior con 20,175,380 trabajadores inscritos. En el primer semestre de 2022 se generaron 448,560 empleos que en números relativos representa el 2.2%; dato que analíticamente nos dice que la contratación se refleja muy lenta y que debe ser preocupante.</w:t>
      </w:r>
    </w:p>
    <w:p w14:paraId="2AEFFBFD" w14:textId="77777777" w:rsidR="00C56C61" w:rsidRPr="003D090B" w:rsidRDefault="00C56C61" w:rsidP="00FD3EAB">
      <w:pPr>
        <w:jc w:val="both"/>
        <w:rPr>
          <w:rFonts w:ascii="Monsserrat" w:hAnsi="Monsserrat"/>
          <w:sz w:val="25"/>
          <w:szCs w:val="25"/>
        </w:rPr>
      </w:pPr>
    </w:p>
    <w:p w14:paraId="7101EEF5" w14:textId="53A2DF31" w:rsidR="00FD3EAB" w:rsidRPr="003D090B" w:rsidRDefault="00FD3EAB" w:rsidP="00FD3EAB">
      <w:pPr>
        <w:jc w:val="both"/>
        <w:rPr>
          <w:rFonts w:ascii="Monsserrat" w:hAnsi="Monsserrat"/>
          <w:sz w:val="25"/>
          <w:szCs w:val="25"/>
        </w:rPr>
      </w:pPr>
      <w:r w:rsidRPr="003D090B">
        <w:rPr>
          <w:rFonts w:ascii="Monsserrat" w:hAnsi="Monsserrat"/>
          <w:sz w:val="25"/>
          <w:szCs w:val="25"/>
        </w:rPr>
        <w:t>De acuerdo con especialistas, “junio es el cuarto mes al hilo con desaceleración en la creación de empleo anual”, dijo Gabriela Siller Pagaza, a la vez que agregó que “25 de las 32 entidades muestran una recuperación completa en los puestos de trabajo respecto al nivel prepandemia; mientras que Veracruz, Sinaloa, Guerrero, Ciudad de México y Quinta Roo, todavía no se recuperan”. “El Economista”.</w:t>
      </w:r>
    </w:p>
    <w:p w14:paraId="2A59432D" w14:textId="77777777" w:rsidR="00C56C61" w:rsidRPr="003D090B" w:rsidRDefault="00C56C61" w:rsidP="00FD3EAB">
      <w:pPr>
        <w:jc w:val="both"/>
        <w:rPr>
          <w:rFonts w:ascii="Monsserrat" w:hAnsi="Monsserrat"/>
          <w:sz w:val="25"/>
          <w:szCs w:val="25"/>
        </w:rPr>
      </w:pPr>
    </w:p>
    <w:p w14:paraId="723920C4" w14:textId="77777777" w:rsidR="00FD3EAB" w:rsidRPr="003D090B" w:rsidRDefault="00FD3EAB" w:rsidP="00FD3EAB">
      <w:pPr>
        <w:jc w:val="both"/>
        <w:rPr>
          <w:rFonts w:ascii="Monsserrat" w:hAnsi="Monsserrat"/>
          <w:sz w:val="25"/>
          <w:szCs w:val="25"/>
        </w:rPr>
      </w:pPr>
      <w:r w:rsidRPr="003D090B">
        <w:rPr>
          <w:rFonts w:ascii="Monsserrat" w:hAnsi="Monsserrat"/>
          <w:b/>
          <w:sz w:val="25"/>
          <w:szCs w:val="25"/>
        </w:rPr>
        <w:t>Inversión Extranjera Directa</w:t>
      </w:r>
      <w:r w:rsidRPr="003D090B">
        <w:rPr>
          <w:rFonts w:ascii="Monsserrat" w:hAnsi="Monsserrat"/>
          <w:sz w:val="25"/>
          <w:szCs w:val="25"/>
        </w:rPr>
        <w:t>. La Comisión de Inversiones Extrajeras, adjudicada a la Secretaría de Economía, presenta en su Informe Estadístico Sobre Comportamiento de la Inversión Extranjera Directa en México (enero-marzo de 2022) el presente gráfico:</w:t>
      </w:r>
    </w:p>
    <w:p w14:paraId="14AAF179" w14:textId="77777777" w:rsidR="00FD3EAB" w:rsidRPr="003D090B" w:rsidRDefault="00FD3EAB" w:rsidP="00FD3EAB">
      <w:pPr>
        <w:jc w:val="both"/>
        <w:rPr>
          <w:rFonts w:ascii="Monsserrat" w:hAnsi="Monsserrat"/>
          <w:sz w:val="25"/>
          <w:szCs w:val="25"/>
        </w:rPr>
      </w:pPr>
      <w:r w:rsidRPr="003D090B">
        <w:rPr>
          <w:rFonts w:ascii="Monsserrat" w:hAnsi="Monsserrat"/>
          <w:noProof/>
          <w:sz w:val="25"/>
          <w:szCs w:val="25"/>
          <w:lang w:val="es-MX"/>
        </w:rPr>
        <w:drawing>
          <wp:inline distT="0" distB="0" distL="0" distR="0" wp14:anchorId="56AB39F6" wp14:editId="3D6F16E1">
            <wp:extent cx="5695667" cy="31051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18" t="28178" r="20881" b="23204"/>
                    <a:stretch/>
                  </pic:blipFill>
                  <pic:spPr bwMode="auto">
                    <a:xfrm>
                      <a:off x="0" y="0"/>
                      <a:ext cx="5892152" cy="3212269"/>
                    </a:xfrm>
                    <a:prstGeom prst="rect">
                      <a:avLst/>
                    </a:prstGeom>
                    <a:ln>
                      <a:noFill/>
                    </a:ln>
                    <a:extLst>
                      <a:ext uri="{53640926-AAD7-44D8-BBD7-CCE9431645EC}">
                        <a14:shadowObscured xmlns:a14="http://schemas.microsoft.com/office/drawing/2010/main"/>
                      </a:ext>
                    </a:extLst>
                  </pic:spPr>
                </pic:pic>
              </a:graphicData>
            </a:graphic>
          </wp:inline>
        </w:drawing>
      </w:r>
    </w:p>
    <w:p w14:paraId="7CFE6294" w14:textId="77777777" w:rsidR="00FD3EAB" w:rsidRPr="003D090B" w:rsidRDefault="00FD3EAB" w:rsidP="00FD3EAB">
      <w:pPr>
        <w:jc w:val="both"/>
        <w:rPr>
          <w:rFonts w:ascii="Monsserrat" w:hAnsi="Monsserrat"/>
          <w:sz w:val="25"/>
          <w:szCs w:val="25"/>
        </w:rPr>
      </w:pPr>
      <w:proofErr w:type="gramStart"/>
      <w:r w:rsidRPr="003D090B">
        <w:rPr>
          <w:rFonts w:ascii="Monsserrat" w:hAnsi="Monsserrat"/>
          <w:sz w:val="25"/>
          <w:szCs w:val="25"/>
        </w:rPr>
        <w:t>A pesar que</w:t>
      </w:r>
      <w:proofErr w:type="gramEnd"/>
      <w:r w:rsidRPr="003D090B">
        <w:rPr>
          <w:rFonts w:ascii="Monsserrat" w:hAnsi="Monsserrat"/>
          <w:sz w:val="25"/>
          <w:szCs w:val="25"/>
        </w:rPr>
        <w:t xml:space="preserve"> el incremento entre los trimestres observados del 63.8% es muy representativo, México necesita para la generación de empleos atraer la inversión extranjera como medida complementaria con los propósitos de la iniciativa privada nacional y del gobierno federal.</w:t>
      </w:r>
    </w:p>
    <w:p w14:paraId="058012CA" w14:textId="77777777" w:rsidR="00AC0D24" w:rsidRPr="003D090B" w:rsidRDefault="00AC0D24" w:rsidP="00FD3EAB">
      <w:pPr>
        <w:jc w:val="both"/>
        <w:rPr>
          <w:rFonts w:ascii="Monsserrat" w:hAnsi="Monsserrat"/>
          <w:b/>
          <w:bCs/>
          <w:sz w:val="25"/>
          <w:szCs w:val="25"/>
        </w:rPr>
      </w:pPr>
    </w:p>
    <w:p w14:paraId="4618CDBD" w14:textId="1D5D7DEA" w:rsidR="00FD3EAB" w:rsidRPr="003D090B" w:rsidRDefault="00FD3EAB" w:rsidP="00FD3EAB">
      <w:pPr>
        <w:jc w:val="both"/>
        <w:rPr>
          <w:rFonts w:ascii="Monsserrat" w:hAnsi="Monsserrat"/>
          <w:sz w:val="25"/>
          <w:szCs w:val="25"/>
        </w:rPr>
      </w:pPr>
      <w:r w:rsidRPr="003D090B">
        <w:rPr>
          <w:rFonts w:ascii="Monsserrat" w:hAnsi="Monsserrat"/>
          <w:b/>
          <w:bCs/>
          <w:sz w:val="25"/>
          <w:szCs w:val="25"/>
        </w:rPr>
        <w:t>OAXACA</w:t>
      </w:r>
      <w:r w:rsidRPr="003D090B">
        <w:rPr>
          <w:rFonts w:ascii="Monsserrat" w:hAnsi="Monsserrat"/>
          <w:sz w:val="25"/>
          <w:szCs w:val="25"/>
        </w:rPr>
        <w:t xml:space="preserve">. El Instituto Nacional de Estadística Geográfica (INEGI), Hasta el momento de la redacción no ha actualizado la información relacionada con el PIB del estado de Oaxaca es por eso para contar con panorama económico del estado, nos basamos con </w:t>
      </w:r>
      <w:r w:rsidRPr="003D090B">
        <w:rPr>
          <w:rFonts w:ascii="Monsserrat" w:hAnsi="Monsserrat"/>
          <w:sz w:val="25"/>
          <w:szCs w:val="25"/>
        </w:rPr>
        <w:lastRenderedPageBreak/>
        <w:t xml:space="preserve">el último reporte emitido por este instituto en el cual informa que el Estado de Oaxaca produjo en el año 2020 en términos de Producto Interno Bruto a precios corrientes 352,163 millones de pesos, participando en la aportación nacional con 1.6%. En este mismo año la economía decreció 5.8% motivado por el efecto pandemia COVID 19 que tuvo una injerencia negativa sobre la actividad económica por las medidas restrictivas asumidas.  </w:t>
      </w:r>
    </w:p>
    <w:p w14:paraId="26B44C22" w14:textId="77777777" w:rsidR="00AC0D24" w:rsidRPr="003D090B" w:rsidRDefault="00AC0D24" w:rsidP="00FD3EAB">
      <w:pPr>
        <w:jc w:val="both"/>
        <w:rPr>
          <w:rFonts w:ascii="Monsserrat" w:hAnsi="Monsserrat"/>
          <w:sz w:val="16"/>
          <w:szCs w:val="16"/>
        </w:rPr>
      </w:pPr>
    </w:p>
    <w:p w14:paraId="40999CCF"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Con base en la última actualización del Indicador Trimestral de la Actividad Económica Estatal (</w:t>
      </w:r>
      <w:proofErr w:type="spellStart"/>
      <w:r w:rsidRPr="003D090B">
        <w:rPr>
          <w:rFonts w:ascii="Monsserrat" w:hAnsi="Monsserrat"/>
          <w:sz w:val="25"/>
          <w:szCs w:val="25"/>
        </w:rPr>
        <w:t>ITAEE</w:t>
      </w:r>
      <w:proofErr w:type="spellEnd"/>
      <w:r w:rsidRPr="003D090B">
        <w:rPr>
          <w:rFonts w:ascii="Monsserrat" w:hAnsi="Monsserrat"/>
          <w:sz w:val="25"/>
          <w:szCs w:val="25"/>
        </w:rPr>
        <w:t>), correspondiente al cuarto trimestre 2021 de fecha 28 de abril de 2022, la economía oaxaqueña registra una variación porcentual real respecto al mismo trimestre del año anterior a precios del 2013, de 0.93%. Dato marginal por arriba de la media nacional de 0.84%. La contribución a la variación real de la actividad económica nacional es de 0.01%.</w:t>
      </w:r>
    </w:p>
    <w:p w14:paraId="6021802C" w14:textId="71C6D977" w:rsidR="00FD3EAB" w:rsidRPr="003D090B" w:rsidRDefault="00FD3EAB" w:rsidP="00FD3EAB">
      <w:pPr>
        <w:jc w:val="both"/>
        <w:rPr>
          <w:rFonts w:ascii="Monsserrat" w:hAnsi="Monsserrat"/>
          <w:sz w:val="25"/>
          <w:szCs w:val="25"/>
        </w:rPr>
      </w:pPr>
      <w:r w:rsidRPr="003D090B">
        <w:rPr>
          <w:rFonts w:ascii="Monsserrat" w:hAnsi="Monsserrat"/>
          <w:sz w:val="25"/>
          <w:szCs w:val="25"/>
        </w:rPr>
        <w:t>La variación anual con respecto a las actividades económicas, registran los siguientes porcentajes: Actividades Primarias 8.54%, mejoró con respecto al tercer trimestre de 4.70%, supera el resultado a nivel nacional de 0.6%; Actividades Secundarias del mismo periodo de análisis, se contrajo en 7.43% después de haber alcanzado en el tercer trimestre 15.56</w:t>
      </w:r>
      <w:r w:rsidR="00AC0D24" w:rsidRPr="003D090B">
        <w:rPr>
          <w:rFonts w:ascii="Monsserrat" w:hAnsi="Monsserrat"/>
          <w:sz w:val="25"/>
          <w:szCs w:val="25"/>
        </w:rPr>
        <w:t>%; Actividades</w:t>
      </w:r>
      <w:r w:rsidRPr="003D090B">
        <w:rPr>
          <w:rFonts w:ascii="Monsserrat" w:hAnsi="Monsserrat"/>
          <w:sz w:val="25"/>
          <w:szCs w:val="25"/>
        </w:rPr>
        <w:t xml:space="preserve"> Terciarias registró el 3.3%, un punto abajo respecto al trimestre anterior.</w:t>
      </w:r>
    </w:p>
    <w:p w14:paraId="48E3FC84" w14:textId="77777777" w:rsidR="00AC0D24" w:rsidRPr="003D090B" w:rsidRDefault="00AC0D24" w:rsidP="00FD3EAB">
      <w:pPr>
        <w:jc w:val="both"/>
        <w:rPr>
          <w:rFonts w:ascii="Monsserrat" w:hAnsi="Monsserrat"/>
          <w:sz w:val="16"/>
          <w:szCs w:val="16"/>
        </w:rPr>
      </w:pPr>
    </w:p>
    <w:p w14:paraId="1E795566" w14:textId="3C6C1D6D" w:rsidR="00FD3EAB" w:rsidRPr="003D090B" w:rsidRDefault="00FD3EAB" w:rsidP="00C56C61">
      <w:pPr>
        <w:jc w:val="both"/>
        <w:rPr>
          <w:rFonts w:ascii="Monsserrat" w:hAnsi="Monsserrat"/>
          <w:sz w:val="25"/>
          <w:szCs w:val="25"/>
        </w:rPr>
      </w:pPr>
      <w:r w:rsidRPr="003D090B">
        <w:rPr>
          <w:rFonts w:ascii="Monsserrat" w:hAnsi="Monsserrat"/>
          <w:sz w:val="25"/>
          <w:szCs w:val="25"/>
        </w:rPr>
        <w:t>El INEGI hace la siguiente notificación: “Las contribuciones se obtienen ponderando las tasas de crecimiento con la participación que cada estado tiene de la actividad económica nacional”.</w:t>
      </w:r>
    </w:p>
    <w:p w14:paraId="55D03738" w14:textId="77777777" w:rsidR="00C56C61" w:rsidRPr="003D090B" w:rsidRDefault="00C56C61" w:rsidP="003D090B">
      <w:pPr>
        <w:rPr>
          <w:rFonts w:ascii="Monsserrat" w:hAnsi="Monsserrat"/>
          <w:sz w:val="16"/>
          <w:szCs w:val="16"/>
        </w:rPr>
      </w:pPr>
    </w:p>
    <w:p w14:paraId="2FCDE9BC" w14:textId="57F71D3B" w:rsidR="00FD3EAB" w:rsidRPr="003D090B" w:rsidRDefault="00FD3EAB" w:rsidP="00FD3EAB">
      <w:pPr>
        <w:keepLines/>
        <w:jc w:val="both"/>
        <w:rPr>
          <w:rFonts w:ascii="Monsserrat" w:hAnsi="Monsserrat"/>
          <w:sz w:val="25"/>
          <w:szCs w:val="25"/>
        </w:rPr>
      </w:pPr>
      <w:r w:rsidRPr="003D090B">
        <w:rPr>
          <w:rFonts w:ascii="Monsserrat" w:hAnsi="Monsserrat"/>
          <w:b/>
          <w:bCs/>
          <w:sz w:val="25"/>
          <w:szCs w:val="25"/>
        </w:rPr>
        <w:t>Empleos.</w:t>
      </w:r>
      <w:r w:rsidRPr="003D090B">
        <w:rPr>
          <w:rFonts w:ascii="Monsserrat" w:hAnsi="Monsserrat"/>
          <w:sz w:val="25"/>
          <w:szCs w:val="25"/>
        </w:rPr>
        <w:t xml:space="preserve"> El Informe Laboral </w:t>
      </w:r>
      <w:proofErr w:type="spellStart"/>
      <w:r w:rsidRPr="003D090B">
        <w:rPr>
          <w:rFonts w:ascii="Monsserrat" w:hAnsi="Monsserrat"/>
          <w:sz w:val="25"/>
          <w:szCs w:val="25"/>
        </w:rPr>
        <w:t>STPS</w:t>
      </w:r>
      <w:proofErr w:type="spellEnd"/>
      <w:r w:rsidRPr="003D090B">
        <w:rPr>
          <w:rFonts w:ascii="Monsserrat" w:hAnsi="Monsserrat"/>
          <w:sz w:val="25"/>
          <w:szCs w:val="25"/>
        </w:rPr>
        <w:t xml:space="preserve"> (Secretaría del Trabajo y Previsión Social) del mes de junio de 2022, con datos del primer semestre de este año del Estado de Oaxaca, reporta que el Estado cuenta con una población total de 4,228,733 habitantes. 1,884,444 corresponden a la Población Económicamente Activa (PEA) con el 44.6%. Del PEA, el 98.4% se reportan como ocupadas, asalariada el 45.2%, Trabajadores por Cuenta Propia 38.3%, Empleadores 4.2% y Sin Pago y otros 10.8%. Por deducción el 1.57% del PEA se encuentra desocupada.</w:t>
      </w:r>
    </w:p>
    <w:p w14:paraId="3E29394D" w14:textId="77777777" w:rsidR="00AC0D24" w:rsidRPr="003D090B" w:rsidRDefault="00AC0D24" w:rsidP="00FD3EAB">
      <w:pPr>
        <w:keepLines/>
        <w:jc w:val="both"/>
        <w:rPr>
          <w:rFonts w:ascii="Monsserrat" w:hAnsi="Monsserrat"/>
          <w:sz w:val="25"/>
          <w:szCs w:val="25"/>
        </w:rPr>
      </w:pPr>
    </w:p>
    <w:p w14:paraId="098CAB07" w14:textId="4E8802C8" w:rsidR="00FD3EAB" w:rsidRPr="003D090B" w:rsidRDefault="00FD3EAB" w:rsidP="00FD3EAB">
      <w:pPr>
        <w:jc w:val="both"/>
        <w:rPr>
          <w:rFonts w:ascii="Monsserrat" w:hAnsi="Monsserrat"/>
          <w:sz w:val="25"/>
          <w:szCs w:val="25"/>
        </w:rPr>
      </w:pPr>
      <w:r w:rsidRPr="003D090B">
        <w:rPr>
          <w:rFonts w:ascii="Monsserrat" w:hAnsi="Monsserrat"/>
          <w:sz w:val="25"/>
          <w:szCs w:val="25"/>
        </w:rPr>
        <w:t>El Instituto de Información Estadística y Geográfica (INEGI) con información del IMSS, hace mención que, en el Estado de Oaxaca en mes de junio de 2022, se registraron en total 217,994 trabajadores con incremento anual de 5,472 trabajadores que representan la variación anual del 2.57% por debajo del nivel nacional de 4.43%. Durante el mes de junio de 2022 se generaron 1,096 empleos formales que ascienden al 0.51% de variación mensual.</w:t>
      </w:r>
    </w:p>
    <w:p w14:paraId="52DF9B41" w14:textId="77777777" w:rsidR="00AC0D24" w:rsidRPr="003D090B" w:rsidRDefault="00AC0D24" w:rsidP="00FD3EAB">
      <w:pPr>
        <w:jc w:val="both"/>
        <w:rPr>
          <w:rFonts w:ascii="Monsserrat" w:hAnsi="Monsserrat"/>
          <w:sz w:val="25"/>
          <w:szCs w:val="25"/>
        </w:rPr>
      </w:pPr>
    </w:p>
    <w:p w14:paraId="7489DF94" w14:textId="6753FC54"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En mes de junio de 2022, periodo crítico del paro de las actividades productivas por consecuencia de la pandemia COVID-19 para evitar el alto contagio masivo, se </w:t>
      </w:r>
      <w:r w:rsidRPr="003D090B">
        <w:rPr>
          <w:rFonts w:ascii="Monsserrat" w:hAnsi="Monsserrat"/>
          <w:sz w:val="25"/>
          <w:szCs w:val="25"/>
        </w:rPr>
        <w:lastRenderedPageBreak/>
        <w:t>contaba con 208,619 trabajadores asegurados en el IMSS. Después de 2 años, El Estado ha logrado generar un incremento de 4.5%.</w:t>
      </w:r>
    </w:p>
    <w:p w14:paraId="1C041C0D" w14:textId="77777777" w:rsidR="00AC0D24" w:rsidRPr="003D090B" w:rsidRDefault="00AC0D24" w:rsidP="00FD3EAB">
      <w:pPr>
        <w:jc w:val="both"/>
        <w:rPr>
          <w:rFonts w:ascii="Monsserrat" w:hAnsi="Monsserrat"/>
          <w:sz w:val="25"/>
          <w:szCs w:val="25"/>
        </w:rPr>
      </w:pPr>
    </w:p>
    <w:p w14:paraId="68532384" w14:textId="64B4EA06" w:rsidR="00FD3EAB" w:rsidRPr="003D090B" w:rsidRDefault="00FD3EAB" w:rsidP="00FD3EAB">
      <w:pPr>
        <w:jc w:val="both"/>
        <w:rPr>
          <w:rFonts w:ascii="Monsserrat" w:hAnsi="Monsserrat"/>
          <w:sz w:val="25"/>
          <w:szCs w:val="25"/>
        </w:rPr>
      </w:pPr>
      <w:r w:rsidRPr="003D090B">
        <w:rPr>
          <w:rFonts w:ascii="Monsserrat" w:hAnsi="Monsserrat"/>
          <w:b/>
          <w:bCs/>
          <w:sz w:val="25"/>
          <w:szCs w:val="25"/>
        </w:rPr>
        <w:t>Inversión Extranjera Directa (IED).</w:t>
      </w:r>
      <w:r w:rsidRPr="003D090B">
        <w:rPr>
          <w:rFonts w:ascii="Monsserrat" w:hAnsi="Monsserrat"/>
          <w:sz w:val="25"/>
          <w:szCs w:val="25"/>
        </w:rPr>
        <w:t xml:space="preserve"> La captación de IED para el Estado de Oaxaca durante el primer trimestre de 2022, ascendió a un total de 136.9 millones de dólares (</w:t>
      </w:r>
      <w:proofErr w:type="spellStart"/>
      <w:r w:rsidRPr="003D090B">
        <w:rPr>
          <w:rFonts w:ascii="Monsserrat" w:hAnsi="Monsserrat"/>
          <w:sz w:val="25"/>
          <w:szCs w:val="25"/>
        </w:rPr>
        <w:t>mdd</w:t>
      </w:r>
      <w:proofErr w:type="spellEnd"/>
      <w:r w:rsidRPr="003D090B">
        <w:rPr>
          <w:rFonts w:ascii="Monsserrat" w:hAnsi="Monsserrat"/>
          <w:sz w:val="25"/>
          <w:szCs w:val="25"/>
        </w:rPr>
        <w:t xml:space="preserve">). Nuevas Inversiones 56.6 </w:t>
      </w:r>
      <w:proofErr w:type="spellStart"/>
      <w:r w:rsidRPr="003D090B">
        <w:rPr>
          <w:rFonts w:ascii="Monsserrat" w:hAnsi="Monsserrat"/>
          <w:sz w:val="25"/>
          <w:szCs w:val="25"/>
        </w:rPr>
        <w:t>mdd</w:t>
      </w:r>
      <w:proofErr w:type="spellEnd"/>
      <w:r w:rsidRPr="003D090B">
        <w:rPr>
          <w:rFonts w:ascii="Monsserrat" w:hAnsi="Monsserrat"/>
          <w:sz w:val="25"/>
          <w:szCs w:val="25"/>
        </w:rPr>
        <w:t xml:space="preserve">, Reinversión de Utilidades 74.6 </w:t>
      </w:r>
      <w:proofErr w:type="spellStart"/>
      <w:r w:rsidRPr="003D090B">
        <w:rPr>
          <w:rFonts w:ascii="Monsserrat" w:hAnsi="Monsserrat"/>
          <w:sz w:val="25"/>
          <w:szCs w:val="25"/>
        </w:rPr>
        <w:t>mdd</w:t>
      </w:r>
      <w:proofErr w:type="spellEnd"/>
      <w:r w:rsidRPr="003D090B">
        <w:rPr>
          <w:rFonts w:ascii="Monsserrat" w:hAnsi="Monsserrat"/>
          <w:sz w:val="25"/>
          <w:szCs w:val="25"/>
        </w:rPr>
        <w:t xml:space="preserve"> y Cuenta entre compañías 5.7 </w:t>
      </w:r>
      <w:proofErr w:type="spellStart"/>
      <w:r w:rsidRPr="003D090B">
        <w:rPr>
          <w:rFonts w:ascii="Monsserrat" w:hAnsi="Monsserrat"/>
          <w:sz w:val="25"/>
          <w:szCs w:val="25"/>
        </w:rPr>
        <w:t>mdd</w:t>
      </w:r>
      <w:proofErr w:type="spellEnd"/>
      <w:r w:rsidRPr="003D090B">
        <w:rPr>
          <w:rFonts w:ascii="Monsserrat" w:hAnsi="Monsserrat"/>
          <w:sz w:val="25"/>
          <w:szCs w:val="25"/>
        </w:rPr>
        <w:t>. En el concepto de nuevas inversiones y reinversiones de utilidades figuran los países de España y Canadá y las operaciones de cuentas entre compañías Los Países Bajos.</w:t>
      </w:r>
    </w:p>
    <w:p w14:paraId="0B82D714" w14:textId="77777777" w:rsidR="00AC0D24" w:rsidRPr="003D090B" w:rsidRDefault="00AC0D24" w:rsidP="00FD3EAB">
      <w:pPr>
        <w:jc w:val="both"/>
        <w:rPr>
          <w:rFonts w:ascii="Monsserrat" w:hAnsi="Monsserrat"/>
          <w:sz w:val="25"/>
          <w:szCs w:val="25"/>
        </w:rPr>
      </w:pPr>
    </w:p>
    <w:p w14:paraId="58867304" w14:textId="3581C726"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El Gran Total de la IED para el Estado, suma 6,356.4 </w:t>
      </w:r>
      <w:proofErr w:type="spellStart"/>
      <w:r w:rsidRPr="003D090B">
        <w:rPr>
          <w:rFonts w:ascii="Monsserrat" w:hAnsi="Monsserrat"/>
          <w:sz w:val="25"/>
          <w:szCs w:val="25"/>
        </w:rPr>
        <w:t>mdd</w:t>
      </w:r>
      <w:proofErr w:type="spellEnd"/>
      <w:r w:rsidRPr="003D090B">
        <w:rPr>
          <w:rFonts w:ascii="Monsserrat" w:hAnsi="Monsserrat"/>
          <w:sz w:val="25"/>
          <w:szCs w:val="25"/>
        </w:rPr>
        <w:t>. Monto histórico desde el año 1999 al primer trimestre del año 2022.</w:t>
      </w:r>
    </w:p>
    <w:p w14:paraId="4EC1CF13" w14:textId="77777777" w:rsidR="00AC0D24" w:rsidRPr="003D090B" w:rsidRDefault="00AC0D24" w:rsidP="00FD3EAB">
      <w:pPr>
        <w:jc w:val="both"/>
        <w:rPr>
          <w:rFonts w:ascii="Monsserrat" w:hAnsi="Monsserrat"/>
          <w:sz w:val="25"/>
          <w:szCs w:val="25"/>
        </w:rPr>
      </w:pPr>
    </w:p>
    <w:p w14:paraId="38F74828" w14:textId="7C31F6AC" w:rsidR="00FD3EAB" w:rsidRPr="003D090B" w:rsidRDefault="00FD3EAB" w:rsidP="00FD3EAB">
      <w:pPr>
        <w:jc w:val="both"/>
        <w:rPr>
          <w:rFonts w:ascii="Monsserrat" w:hAnsi="Monsserrat"/>
          <w:sz w:val="25"/>
          <w:szCs w:val="25"/>
        </w:rPr>
      </w:pPr>
      <w:r w:rsidRPr="003D090B">
        <w:rPr>
          <w:rFonts w:ascii="Monsserrat" w:hAnsi="Monsserrat"/>
          <w:sz w:val="25"/>
          <w:szCs w:val="25"/>
        </w:rPr>
        <w:t>El gobierno estatal, con el objetivo siempre presente de minimizar el efecto pobreza de sus gobernados que viven en la extrema pobreza, ha implementado grandes inversiones en proyectos de infraestructura con la intención de generar demanda y así mismo generar empleo y antes del término del sexenio de su administración sentará las bases firmes para que la nueva administración le dé continuidad a lo hecho. El avance de los proyectos de inversión fue bien vista por las agencias calificadoras que mejoraron su opinión de la calificación soberana de riesgo crediticio del Estado de Oaxaca.</w:t>
      </w:r>
    </w:p>
    <w:p w14:paraId="23D11E78" w14:textId="77777777" w:rsidR="00AC0D24" w:rsidRPr="003D090B" w:rsidRDefault="00AC0D24" w:rsidP="00FD3EAB">
      <w:pPr>
        <w:jc w:val="both"/>
        <w:rPr>
          <w:rFonts w:ascii="Monsserrat" w:hAnsi="Monsserrat"/>
          <w:sz w:val="25"/>
          <w:szCs w:val="25"/>
        </w:rPr>
      </w:pPr>
    </w:p>
    <w:p w14:paraId="0197E8FF" w14:textId="288AB058" w:rsidR="00FD3EAB" w:rsidRPr="003D090B" w:rsidRDefault="00FD3EAB" w:rsidP="00FD3EAB">
      <w:pPr>
        <w:jc w:val="both"/>
        <w:rPr>
          <w:rFonts w:ascii="Monsserrat" w:hAnsi="Monsserrat"/>
          <w:sz w:val="25"/>
          <w:szCs w:val="25"/>
        </w:rPr>
      </w:pPr>
      <w:r w:rsidRPr="003D090B">
        <w:rPr>
          <w:rFonts w:ascii="Monsserrat" w:hAnsi="Monsserrat"/>
          <w:sz w:val="25"/>
          <w:szCs w:val="25"/>
        </w:rPr>
        <w:t>El gobierno del Estado de Oaxaca durante este año que termina su administración, continúa con los proyectos planteados a la comunidad oaxaqueña. La intención es no dejar ningún compromiso hecho en la categoría de inconcluso.</w:t>
      </w:r>
    </w:p>
    <w:p w14:paraId="6B9BF622" w14:textId="77777777" w:rsidR="00AC0D24" w:rsidRPr="003D090B" w:rsidRDefault="00AC0D24" w:rsidP="00FD3EAB">
      <w:pPr>
        <w:jc w:val="both"/>
        <w:rPr>
          <w:rFonts w:ascii="Monsserrat" w:hAnsi="Monsserrat"/>
          <w:sz w:val="25"/>
          <w:szCs w:val="25"/>
        </w:rPr>
      </w:pPr>
    </w:p>
    <w:p w14:paraId="3BD23689" w14:textId="593E7235" w:rsidR="00FD3EAB" w:rsidRPr="003D090B" w:rsidRDefault="00FD3EAB" w:rsidP="00FD3EAB">
      <w:pPr>
        <w:jc w:val="both"/>
        <w:rPr>
          <w:rFonts w:ascii="Monsserrat" w:hAnsi="Monsserrat"/>
          <w:sz w:val="25"/>
          <w:szCs w:val="25"/>
        </w:rPr>
      </w:pPr>
      <w:r w:rsidRPr="003D090B">
        <w:rPr>
          <w:rFonts w:ascii="Monsserrat" w:hAnsi="Monsserrat"/>
          <w:b/>
          <w:sz w:val="25"/>
          <w:szCs w:val="25"/>
        </w:rPr>
        <w:t>Inversión en Infraestructura</w:t>
      </w:r>
      <w:r w:rsidRPr="003D090B">
        <w:rPr>
          <w:rFonts w:ascii="Monsserrat" w:hAnsi="Monsserrat"/>
          <w:sz w:val="25"/>
          <w:szCs w:val="25"/>
        </w:rPr>
        <w:t xml:space="preserve"> (Información SEFIN). La generación de infraestructura económica y social contribuye a fortalecer la economía del Estado a través de la generación de empleos y mejoramiento de servicios. En este sentido, la estrategia de inversión pública del Estado se ha fundamentado en cuatro ejes:</w:t>
      </w:r>
    </w:p>
    <w:p w14:paraId="4BB03ED5" w14:textId="77777777" w:rsidR="00AC0D24" w:rsidRPr="003D090B" w:rsidRDefault="00AC0D24" w:rsidP="00FD3EAB">
      <w:pPr>
        <w:jc w:val="both"/>
        <w:rPr>
          <w:rFonts w:ascii="Monsserrat" w:hAnsi="Monsserrat"/>
          <w:sz w:val="25"/>
          <w:szCs w:val="25"/>
        </w:rPr>
      </w:pPr>
    </w:p>
    <w:p w14:paraId="0A82EC95"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1) Recursos Federales que impulsan proyectos estratégicos con el impulso del Gobierno Federal. </w:t>
      </w:r>
    </w:p>
    <w:p w14:paraId="5BBAC1A8"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Actualmente se desarrollan proyectos de infraestructura que transformarán el rostro de Oaxaca.</w:t>
      </w:r>
    </w:p>
    <w:p w14:paraId="26A42658" w14:textId="77777777" w:rsidR="00FD3EAB" w:rsidRPr="003D090B" w:rsidRDefault="00FD3EAB" w:rsidP="00FD3EAB">
      <w:pPr>
        <w:pStyle w:val="Prrafodelista"/>
        <w:numPr>
          <w:ilvl w:val="0"/>
          <w:numId w:val="34"/>
        </w:numPr>
        <w:jc w:val="both"/>
        <w:rPr>
          <w:rFonts w:ascii="Monsserrat" w:hAnsi="Monsserrat"/>
          <w:sz w:val="25"/>
          <w:szCs w:val="25"/>
        </w:rPr>
      </w:pPr>
      <w:r w:rsidRPr="003D090B">
        <w:rPr>
          <w:rFonts w:ascii="Monsserrat" w:hAnsi="Monsserrat"/>
          <w:sz w:val="25"/>
          <w:szCs w:val="25"/>
        </w:rPr>
        <w:t>Programa de Desarrollo del Istmo – Interoceánico</w:t>
      </w:r>
    </w:p>
    <w:p w14:paraId="025FCF6B" w14:textId="77777777" w:rsidR="00FD3EAB" w:rsidRPr="003D090B" w:rsidRDefault="00FD3EAB" w:rsidP="00FD3EAB">
      <w:pPr>
        <w:pStyle w:val="Prrafodelista"/>
        <w:numPr>
          <w:ilvl w:val="0"/>
          <w:numId w:val="34"/>
        </w:numPr>
        <w:jc w:val="both"/>
        <w:rPr>
          <w:rFonts w:ascii="Monsserrat" w:hAnsi="Monsserrat"/>
          <w:sz w:val="25"/>
          <w:szCs w:val="25"/>
        </w:rPr>
      </w:pPr>
      <w:r w:rsidRPr="003D090B">
        <w:rPr>
          <w:rFonts w:ascii="Monsserrat" w:hAnsi="Monsserrat"/>
          <w:sz w:val="25"/>
          <w:szCs w:val="25"/>
        </w:rPr>
        <w:t>Autopista Barranca Larga-Ventanilla (Costa)</w:t>
      </w:r>
    </w:p>
    <w:p w14:paraId="30A5005B" w14:textId="77777777" w:rsidR="00FD3EAB" w:rsidRPr="003D090B" w:rsidRDefault="00FD3EAB" w:rsidP="00FD3EAB">
      <w:pPr>
        <w:pStyle w:val="Prrafodelista"/>
        <w:numPr>
          <w:ilvl w:val="0"/>
          <w:numId w:val="34"/>
        </w:numPr>
        <w:jc w:val="both"/>
        <w:rPr>
          <w:rFonts w:ascii="Monsserrat" w:hAnsi="Monsserrat"/>
          <w:sz w:val="25"/>
          <w:szCs w:val="25"/>
        </w:rPr>
      </w:pPr>
      <w:r w:rsidRPr="003D090B">
        <w:rPr>
          <w:rFonts w:ascii="Monsserrat" w:hAnsi="Monsserrat"/>
          <w:sz w:val="25"/>
          <w:szCs w:val="25"/>
        </w:rPr>
        <w:t>Autopista Mitla –Tehuantepec (Istmo)</w:t>
      </w:r>
    </w:p>
    <w:p w14:paraId="450B7DA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2) Financiamiento de largo plazo por 3,500 </w:t>
      </w:r>
      <w:proofErr w:type="spellStart"/>
      <w:r w:rsidRPr="003D090B">
        <w:rPr>
          <w:rFonts w:ascii="Monsserrat" w:hAnsi="Monsserrat"/>
          <w:sz w:val="25"/>
          <w:szCs w:val="25"/>
        </w:rPr>
        <w:t>mdp</w:t>
      </w:r>
      <w:proofErr w:type="spellEnd"/>
      <w:r w:rsidRPr="003D090B">
        <w:rPr>
          <w:rFonts w:ascii="Monsserrat" w:hAnsi="Monsserrat"/>
          <w:sz w:val="25"/>
          <w:szCs w:val="25"/>
        </w:rPr>
        <w:t>.</w:t>
      </w:r>
    </w:p>
    <w:p w14:paraId="64E02AEF"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lastRenderedPageBreak/>
        <w:t>Se aprovecharon las condiciones de financiamiento favorables existentes a inicios del año pasado, para que el Estado contara con recursos para impulsar mayor infraestructura económica y social, aún ante la perspectiva incierta que prevalece a nivel nacional e internacional.</w:t>
      </w:r>
    </w:p>
    <w:p w14:paraId="06DC06AB" w14:textId="77777777" w:rsidR="00FD3EAB" w:rsidRPr="003D090B" w:rsidRDefault="00FD3EAB" w:rsidP="00FD3EAB">
      <w:pPr>
        <w:pStyle w:val="Prrafodelista"/>
        <w:numPr>
          <w:ilvl w:val="0"/>
          <w:numId w:val="33"/>
        </w:numPr>
        <w:jc w:val="both"/>
        <w:rPr>
          <w:rFonts w:ascii="Monsserrat" w:hAnsi="Monsserrat"/>
          <w:sz w:val="25"/>
          <w:szCs w:val="25"/>
        </w:rPr>
      </w:pPr>
      <w:r w:rsidRPr="003D090B">
        <w:rPr>
          <w:rFonts w:ascii="Monsserrat" w:hAnsi="Monsserrat"/>
          <w:sz w:val="25"/>
          <w:szCs w:val="25"/>
        </w:rPr>
        <w:t>Rehabilitación de Central de Abastos</w:t>
      </w:r>
    </w:p>
    <w:p w14:paraId="41F87A8E" w14:textId="77777777" w:rsidR="00FD3EAB" w:rsidRPr="003D090B" w:rsidRDefault="00FD3EAB" w:rsidP="00FD3EAB">
      <w:pPr>
        <w:pStyle w:val="Prrafodelista"/>
        <w:numPr>
          <w:ilvl w:val="0"/>
          <w:numId w:val="33"/>
        </w:numPr>
        <w:jc w:val="both"/>
        <w:rPr>
          <w:rFonts w:ascii="Monsserrat" w:hAnsi="Monsserrat"/>
          <w:sz w:val="25"/>
          <w:szCs w:val="25"/>
        </w:rPr>
      </w:pPr>
      <w:r w:rsidRPr="003D090B">
        <w:rPr>
          <w:rFonts w:ascii="Monsserrat" w:hAnsi="Monsserrat"/>
          <w:sz w:val="25"/>
          <w:szCs w:val="25"/>
        </w:rPr>
        <w:t>Centro Cultural Álvaro Carrillo</w:t>
      </w:r>
    </w:p>
    <w:p w14:paraId="74826868" w14:textId="77777777" w:rsidR="00FD3EAB" w:rsidRPr="003D090B" w:rsidRDefault="00FD3EAB" w:rsidP="00FD3EAB">
      <w:pPr>
        <w:pStyle w:val="Prrafodelista"/>
        <w:numPr>
          <w:ilvl w:val="0"/>
          <w:numId w:val="33"/>
        </w:numPr>
        <w:jc w:val="both"/>
        <w:rPr>
          <w:rFonts w:ascii="Monsserrat" w:hAnsi="Monsserrat"/>
          <w:sz w:val="25"/>
          <w:szCs w:val="25"/>
        </w:rPr>
      </w:pPr>
      <w:r w:rsidRPr="003D090B">
        <w:rPr>
          <w:rFonts w:ascii="Monsserrat" w:hAnsi="Monsserrat"/>
          <w:sz w:val="25"/>
          <w:szCs w:val="25"/>
        </w:rPr>
        <w:t>Centro de Congresos en Huatulco</w:t>
      </w:r>
    </w:p>
    <w:p w14:paraId="49EC6148" w14:textId="77777777" w:rsidR="00FD3EAB" w:rsidRPr="003D090B" w:rsidRDefault="00FD3EAB" w:rsidP="00FD3EAB">
      <w:pPr>
        <w:pStyle w:val="Prrafodelista"/>
        <w:numPr>
          <w:ilvl w:val="0"/>
          <w:numId w:val="33"/>
        </w:numPr>
        <w:jc w:val="both"/>
        <w:rPr>
          <w:rFonts w:ascii="Monsserrat" w:hAnsi="Monsserrat"/>
          <w:sz w:val="25"/>
          <w:szCs w:val="25"/>
        </w:rPr>
      </w:pPr>
      <w:r w:rsidRPr="003D090B">
        <w:rPr>
          <w:rFonts w:ascii="Monsserrat" w:hAnsi="Monsserrat"/>
          <w:sz w:val="25"/>
          <w:szCs w:val="25"/>
        </w:rPr>
        <w:t>Libramiento Sur de Oaxaca</w:t>
      </w:r>
    </w:p>
    <w:p w14:paraId="0C5CD89B" w14:textId="77777777" w:rsidR="00FD3EAB" w:rsidRPr="003D090B" w:rsidRDefault="00FD3EAB" w:rsidP="00FD3EAB">
      <w:pPr>
        <w:pStyle w:val="Prrafodelista"/>
        <w:numPr>
          <w:ilvl w:val="0"/>
          <w:numId w:val="33"/>
        </w:numPr>
        <w:jc w:val="both"/>
        <w:rPr>
          <w:rFonts w:ascii="Monsserrat" w:hAnsi="Monsserrat"/>
          <w:sz w:val="25"/>
          <w:szCs w:val="25"/>
        </w:rPr>
      </w:pPr>
      <w:r w:rsidRPr="003D090B">
        <w:rPr>
          <w:rFonts w:ascii="Monsserrat" w:hAnsi="Monsserrat"/>
          <w:sz w:val="25"/>
          <w:szCs w:val="25"/>
        </w:rPr>
        <w:t>En total son más de 177 proyectos en las 8 regiones del estado de Oaxaca.</w:t>
      </w:r>
    </w:p>
    <w:p w14:paraId="60EE76CB"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3) Atención del rezago social con gasto federalizado.</w:t>
      </w:r>
    </w:p>
    <w:p w14:paraId="3750245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A través del Ramo 23 y 33 se implementan proyectos de infraestructura social que tienen impacto en poblaciones con un alto grado de rezago social.</w:t>
      </w:r>
    </w:p>
    <w:p w14:paraId="188EC1E0" w14:textId="77777777" w:rsidR="00FD3EAB" w:rsidRPr="003D090B" w:rsidRDefault="00FD3EAB" w:rsidP="00FD3EAB">
      <w:pPr>
        <w:pStyle w:val="Prrafodelista"/>
        <w:numPr>
          <w:ilvl w:val="0"/>
          <w:numId w:val="32"/>
        </w:numPr>
        <w:jc w:val="both"/>
        <w:rPr>
          <w:rFonts w:ascii="Monsserrat" w:hAnsi="Monsserrat"/>
          <w:sz w:val="25"/>
          <w:szCs w:val="25"/>
        </w:rPr>
      </w:pPr>
      <w:r w:rsidRPr="003D090B">
        <w:rPr>
          <w:rFonts w:ascii="Monsserrat" w:hAnsi="Monsserrat"/>
          <w:sz w:val="25"/>
          <w:szCs w:val="25"/>
        </w:rPr>
        <w:t>Acceso a servicios básicos</w:t>
      </w:r>
    </w:p>
    <w:p w14:paraId="37B05E8E" w14:textId="77777777" w:rsidR="00FD3EAB" w:rsidRPr="003D090B" w:rsidRDefault="00FD3EAB" w:rsidP="00FD3EAB">
      <w:pPr>
        <w:pStyle w:val="Prrafodelista"/>
        <w:numPr>
          <w:ilvl w:val="0"/>
          <w:numId w:val="32"/>
        </w:numPr>
        <w:jc w:val="both"/>
        <w:rPr>
          <w:rFonts w:ascii="Monsserrat" w:hAnsi="Monsserrat"/>
          <w:sz w:val="25"/>
          <w:szCs w:val="25"/>
        </w:rPr>
      </w:pPr>
      <w:r w:rsidRPr="003D090B">
        <w:rPr>
          <w:rFonts w:ascii="Monsserrat" w:hAnsi="Monsserrat"/>
          <w:sz w:val="25"/>
          <w:szCs w:val="25"/>
        </w:rPr>
        <w:t>Calidad de la vivienda</w:t>
      </w:r>
    </w:p>
    <w:p w14:paraId="04283F90" w14:textId="77777777" w:rsidR="00FD3EAB" w:rsidRPr="003D090B" w:rsidRDefault="00FD3EAB" w:rsidP="00FD3EAB">
      <w:pPr>
        <w:pStyle w:val="Prrafodelista"/>
        <w:numPr>
          <w:ilvl w:val="0"/>
          <w:numId w:val="32"/>
        </w:numPr>
        <w:jc w:val="both"/>
        <w:rPr>
          <w:rFonts w:ascii="Monsserrat" w:hAnsi="Monsserrat"/>
          <w:sz w:val="25"/>
          <w:szCs w:val="25"/>
        </w:rPr>
      </w:pPr>
      <w:r w:rsidRPr="003D090B">
        <w:rPr>
          <w:rFonts w:ascii="Monsserrat" w:hAnsi="Monsserrat"/>
          <w:sz w:val="25"/>
          <w:szCs w:val="25"/>
        </w:rPr>
        <w:t>Acceso a servicios de salud</w:t>
      </w:r>
    </w:p>
    <w:p w14:paraId="171B1FDA" w14:textId="77777777" w:rsidR="00FD3EAB" w:rsidRPr="003D090B" w:rsidRDefault="00FD3EAB" w:rsidP="00FD3EAB">
      <w:pPr>
        <w:pStyle w:val="Prrafodelista"/>
        <w:numPr>
          <w:ilvl w:val="0"/>
          <w:numId w:val="32"/>
        </w:numPr>
        <w:jc w:val="both"/>
        <w:rPr>
          <w:rFonts w:ascii="Monsserrat" w:hAnsi="Monsserrat"/>
          <w:sz w:val="25"/>
          <w:szCs w:val="25"/>
        </w:rPr>
      </w:pPr>
      <w:r w:rsidRPr="003D090B">
        <w:rPr>
          <w:rFonts w:ascii="Monsserrat" w:hAnsi="Monsserrat"/>
          <w:sz w:val="25"/>
          <w:szCs w:val="25"/>
        </w:rPr>
        <w:t>Abatir rezago educativo</w:t>
      </w:r>
    </w:p>
    <w:p w14:paraId="06A1ABF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4) Proyectos con cobertura estatal. </w:t>
      </w:r>
    </w:p>
    <w:p w14:paraId="034DE37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Con recursos locales se complementan los esfuerzos de inversión pública de la federación y de la entidad, procurando mantener la sostenibilidad financiera de la inversión estatal.</w:t>
      </w:r>
    </w:p>
    <w:p w14:paraId="5E1B23F1" w14:textId="77777777" w:rsidR="00FD3EAB" w:rsidRPr="003D090B" w:rsidRDefault="00FD3EAB" w:rsidP="00FD3EAB">
      <w:pPr>
        <w:pStyle w:val="Prrafodelista"/>
        <w:numPr>
          <w:ilvl w:val="0"/>
          <w:numId w:val="31"/>
        </w:numPr>
        <w:jc w:val="both"/>
        <w:rPr>
          <w:rFonts w:ascii="Monsserrat" w:hAnsi="Monsserrat"/>
          <w:sz w:val="25"/>
          <w:szCs w:val="25"/>
        </w:rPr>
      </w:pPr>
      <w:r w:rsidRPr="003D090B">
        <w:rPr>
          <w:rFonts w:ascii="Monsserrat" w:hAnsi="Monsserrat"/>
          <w:sz w:val="25"/>
          <w:szCs w:val="25"/>
        </w:rPr>
        <w:t>Obras Inducidas</w:t>
      </w:r>
    </w:p>
    <w:p w14:paraId="523EAFBD" w14:textId="77777777" w:rsidR="00FD3EAB" w:rsidRPr="003D090B" w:rsidRDefault="00FD3EAB" w:rsidP="00FD3EAB">
      <w:pPr>
        <w:pStyle w:val="Prrafodelista"/>
        <w:numPr>
          <w:ilvl w:val="0"/>
          <w:numId w:val="31"/>
        </w:numPr>
        <w:jc w:val="both"/>
        <w:rPr>
          <w:rFonts w:ascii="Monsserrat" w:hAnsi="Monsserrat"/>
          <w:sz w:val="25"/>
          <w:szCs w:val="25"/>
        </w:rPr>
      </w:pPr>
      <w:r w:rsidRPr="003D090B">
        <w:rPr>
          <w:rFonts w:ascii="Monsserrat" w:hAnsi="Monsserrat"/>
          <w:sz w:val="25"/>
          <w:szCs w:val="25"/>
        </w:rPr>
        <w:t>Infraestructura Gubernamental</w:t>
      </w:r>
    </w:p>
    <w:p w14:paraId="49E8D8AD" w14:textId="77777777" w:rsidR="00FD3EAB" w:rsidRPr="003D090B" w:rsidRDefault="00FD3EAB" w:rsidP="00FD3EAB">
      <w:pPr>
        <w:pStyle w:val="Prrafodelista"/>
        <w:numPr>
          <w:ilvl w:val="0"/>
          <w:numId w:val="31"/>
        </w:numPr>
        <w:jc w:val="both"/>
        <w:rPr>
          <w:rFonts w:ascii="Monsserrat" w:hAnsi="Monsserrat"/>
          <w:sz w:val="25"/>
          <w:szCs w:val="25"/>
        </w:rPr>
      </w:pPr>
      <w:r w:rsidRPr="003D090B">
        <w:rPr>
          <w:rFonts w:ascii="Monsserrat" w:hAnsi="Monsserrat"/>
          <w:sz w:val="25"/>
          <w:szCs w:val="25"/>
        </w:rPr>
        <w:t>Proyectos productivos</w:t>
      </w:r>
    </w:p>
    <w:p w14:paraId="04CD37B9"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Principales Proyectos de Infraestructura. Los principales proyectos de inversión buscan fortalecer la conectividad e infraestructura en el Estado, así como las capacidades productivas locales. Se ha buscado diversificar las fuentes de financiamiento para impulsar el desarrollo de los proyectos.</w:t>
      </w:r>
    </w:p>
    <w:p w14:paraId="4FDF63A3"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desarrollo de estos proyectos prioritarios permitirá:</w:t>
      </w:r>
    </w:p>
    <w:p w14:paraId="47FE3D3B" w14:textId="77777777" w:rsidR="00FD3EAB" w:rsidRPr="003D090B" w:rsidRDefault="00FD3EAB" w:rsidP="00FD3EAB">
      <w:pPr>
        <w:pStyle w:val="Prrafodelista"/>
        <w:numPr>
          <w:ilvl w:val="0"/>
          <w:numId w:val="30"/>
        </w:numPr>
        <w:jc w:val="both"/>
        <w:rPr>
          <w:rFonts w:ascii="Monsserrat" w:hAnsi="Monsserrat"/>
          <w:sz w:val="25"/>
          <w:szCs w:val="25"/>
        </w:rPr>
      </w:pPr>
      <w:r w:rsidRPr="003D090B">
        <w:rPr>
          <w:rFonts w:ascii="Monsserrat" w:hAnsi="Monsserrat"/>
          <w:sz w:val="25"/>
          <w:szCs w:val="25"/>
        </w:rPr>
        <w:t>Consolidar los polos de desarrollo en las distintas regiones del Estado;</w:t>
      </w:r>
    </w:p>
    <w:p w14:paraId="7F7FD22D" w14:textId="77777777" w:rsidR="00FD3EAB" w:rsidRPr="003D090B" w:rsidRDefault="00FD3EAB" w:rsidP="00FD3EAB">
      <w:pPr>
        <w:pStyle w:val="Prrafodelista"/>
        <w:numPr>
          <w:ilvl w:val="0"/>
          <w:numId w:val="30"/>
        </w:numPr>
        <w:jc w:val="both"/>
        <w:rPr>
          <w:rFonts w:ascii="Monsserrat" w:hAnsi="Monsserrat"/>
          <w:sz w:val="25"/>
          <w:szCs w:val="25"/>
        </w:rPr>
      </w:pPr>
      <w:r w:rsidRPr="003D090B">
        <w:rPr>
          <w:rFonts w:ascii="Monsserrat" w:hAnsi="Monsserrat"/>
          <w:sz w:val="25"/>
          <w:szCs w:val="25"/>
        </w:rPr>
        <w:t>Diversificar la oferta turística y cultural en el Estado;</w:t>
      </w:r>
    </w:p>
    <w:p w14:paraId="65AF0F11" w14:textId="77777777" w:rsidR="00FD3EAB" w:rsidRPr="003D090B" w:rsidRDefault="00FD3EAB" w:rsidP="00FD3EAB">
      <w:pPr>
        <w:pStyle w:val="Prrafodelista"/>
        <w:numPr>
          <w:ilvl w:val="0"/>
          <w:numId w:val="30"/>
        </w:numPr>
        <w:jc w:val="both"/>
        <w:rPr>
          <w:rFonts w:ascii="Monsserrat" w:hAnsi="Monsserrat"/>
          <w:sz w:val="25"/>
          <w:szCs w:val="25"/>
        </w:rPr>
      </w:pPr>
      <w:r w:rsidRPr="003D090B">
        <w:rPr>
          <w:rFonts w:ascii="Monsserrat" w:hAnsi="Monsserrat"/>
          <w:sz w:val="25"/>
          <w:szCs w:val="25"/>
        </w:rPr>
        <w:t>Incrementar la oferta de servicios públicos; y</w:t>
      </w:r>
    </w:p>
    <w:p w14:paraId="07E1EFCC" w14:textId="77777777" w:rsidR="00FD3EAB" w:rsidRPr="003D090B" w:rsidRDefault="00FD3EAB" w:rsidP="00FD3EAB">
      <w:pPr>
        <w:pStyle w:val="Prrafodelista"/>
        <w:numPr>
          <w:ilvl w:val="0"/>
          <w:numId w:val="30"/>
        </w:numPr>
        <w:jc w:val="both"/>
        <w:rPr>
          <w:rFonts w:ascii="Monsserrat" w:hAnsi="Monsserrat"/>
          <w:sz w:val="25"/>
          <w:szCs w:val="25"/>
        </w:rPr>
      </w:pPr>
      <w:r w:rsidRPr="003D090B">
        <w:rPr>
          <w:rFonts w:ascii="Monsserrat" w:hAnsi="Monsserrat"/>
          <w:sz w:val="25"/>
          <w:szCs w:val="25"/>
        </w:rPr>
        <w:t>Mejorar la conectividad entre las regiones del Estado y con las entidades vecinas.</w:t>
      </w:r>
    </w:p>
    <w:p w14:paraId="01B918D0" w14:textId="77777777" w:rsidR="00FD3EAB" w:rsidRPr="003D090B" w:rsidRDefault="00FD3EAB" w:rsidP="00FD3EAB">
      <w:pPr>
        <w:pStyle w:val="Prrafodelista"/>
        <w:numPr>
          <w:ilvl w:val="0"/>
          <w:numId w:val="30"/>
        </w:numPr>
        <w:jc w:val="both"/>
        <w:rPr>
          <w:rFonts w:ascii="Monsserrat" w:hAnsi="Monsserrat"/>
          <w:sz w:val="25"/>
          <w:szCs w:val="25"/>
        </w:rPr>
      </w:pPr>
      <w:r w:rsidRPr="003D090B">
        <w:rPr>
          <w:rFonts w:ascii="Monsserrat" w:hAnsi="Monsserrat"/>
          <w:sz w:val="25"/>
          <w:szCs w:val="25"/>
        </w:rPr>
        <w:t>Financiamiento para Inversión Púbica Productiva</w:t>
      </w:r>
    </w:p>
    <w:p w14:paraId="34F9A3C7"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El gobierno del Estado, ha procurado realizar la aplicación de los recursos financieros en proyectos de inversión productiva estratégicos con los fines intencionados de </w:t>
      </w:r>
      <w:r w:rsidRPr="003D090B">
        <w:rPr>
          <w:rFonts w:ascii="Monsserrat" w:hAnsi="Monsserrat"/>
          <w:sz w:val="25"/>
          <w:szCs w:val="25"/>
        </w:rPr>
        <w:lastRenderedPageBreak/>
        <w:t>generar fuentes de trabajo, disminución del rezago social, combatir la pobreza extrema y facilitar a la población marginada el acceso a los medios de comunicación.</w:t>
      </w:r>
    </w:p>
    <w:p w14:paraId="680CD652" w14:textId="1AB1A45C"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“Con la autorización del H. Congreso del Estado se logró contratar financiamiento por 3,500 </w:t>
      </w:r>
      <w:proofErr w:type="spellStart"/>
      <w:r w:rsidRPr="003D090B">
        <w:rPr>
          <w:rFonts w:ascii="Monsserrat" w:hAnsi="Monsserrat"/>
          <w:sz w:val="25"/>
          <w:szCs w:val="25"/>
        </w:rPr>
        <w:t>mdp</w:t>
      </w:r>
      <w:proofErr w:type="spellEnd"/>
      <w:r w:rsidRPr="003D090B">
        <w:rPr>
          <w:rFonts w:ascii="Monsserrat" w:hAnsi="Monsserrat"/>
          <w:sz w:val="25"/>
          <w:szCs w:val="25"/>
        </w:rPr>
        <w:t xml:space="preserve"> bajo condiciones favorables para impulsar el desarrollo de infraestructura en el Estado.</w:t>
      </w:r>
    </w:p>
    <w:p w14:paraId="2BFB1505" w14:textId="77777777" w:rsidR="00C56C61" w:rsidRPr="003D090B" w:rsidRDefault="00C56C61" w:rsidP="00FD3EAB">
      <w:pPr>
        <w:jc w:val="both"/>
        <w:rPr>
          <w:rFonts w:ascii="Monsserrat" w:hAnsi="Monsserrat"/>
          <w:sz w:val="16"/>
          <w:szCs w:val="16"/>
        </w:rPr>
      </w:pPr>
    </w:p>
    <w:p w14:paraId="4F86EE24"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Incidencia de los Proyectos para el Desarrollo en Zonas de Alto Rezago Social. Se realizan 177 obras que benefician a más de 100 municipios en las 8 regiones del estado; particularmente en zonas con alto grado de rezago social y marginación.</w:t>
      </w:r>
    </w:p>
    <w:p w14:paraId="066AB991" w14:textId="423F7B3F" w:rsidR="00FD3EAB" w:rsidRPr="003D090B" w:rsidRDefault="00FD3EAB" w:rsidP="00FD3EAB">
      <w:pPr>
        <w:jc w:val="both"/>
        <w:rPr>
          <w:rFonts w:ascii="Monsserrat" w:hAnsi="Monsserrat"/>
          <w:sz w:val="25"/>
          <w:szCs w:val="25"/>
        </w:rPr>
      </w:pPr>
      <w:r w:rsidRPr="003D090B">
        <w:rPr>
          <w:rFonts w:ascii="Monsserrat" w:hAnsi="Monsserrat"/>
          <w:sz w:val="25"/>
          <w:szCs w:val="25"/>
        </w:rPr>
        <w:t>Oportunidad de financiamiento. El financiamiento se obtuvo antes de la crisis económica y sanitaria del COVID-19, lo que permitió contar con una herramienta a bajo costo (spread de 0.34%), eficiente y transparente para impulsar la recuperación económica en el Estado.</w:t>
      </w:r>
    </w:p>
    <w:p w14:paraId="1867E9C5" w14:textId="77777777" w:rsidR="00C56C61" w:rsidRPr="003D090B" w:rsidRDefault="00C56C61" w:rsidP="00FD3EAB">
      <w:pPr>
        <w:jc w:val="both"/>
        <w:rPr>
          <w:rFonts w:ascii="Monsserrat" w:hAnsi="Monsserrat"/>
          <w:sz w:val="16"/>
          <w:szCs w:val="16"/>
        </w:rPr>
      </w:pPr>
    </w:p>
    <w:p w14:paraId="475DA506" w14:textId="657FE1C9" w:rsidR="00FD3EAB" w:rsidRPr="003D090B" w:rsidRDefault="00FD3EAB" w:rsidP="00FD3EAB">
      <w:pPr>
        <w:jc w:val="both"/>
        <w:rPr>
          <w:rFonts w:ascii="Monsserrat" w:hAnsi="Monsserrat"/>
          <w:sz w:val="25"/>
          <w:szCs w:val="25"/>
        </w:rPr>
      </w:pPr>
      <w:r w:rsidRPr="003D090B">
        <w:rPr>
          <w:rFonts w:ascii="Monsserrat" w:hAnsi="Monsserrat"/>
          <w:sz w:val="25"/>
          <w:szCs w:val="25"/>
        </w:rPr>
        <w:t>Transparencia y Eficiencia en el Ejercicio de los Recursos. Se fortaleció el marco normativo para garantizar el adecuado manejo de los recursos por parte de las 9 ejecutoras de gasto, además, a través del Comité Ejecutivo de Seguimiento de Proyectos se crean sinergias con el Poder Legislativo, la Iniciativa Privada y la Sociedad Civil para garantizar el uso eficiente de los recursos”. (Fuente: Secretaría de Finanzas).</w:t>
      </w:r>
    </w:p>
    <w:p w14:paraId="7605D733" w14:textId="77777777" w:rsidR="00C56C61" w:rsidRPr="003D090B" w:rsidRDefault="00C56C61" w:rsidP="00FD3EAB">
      <w:pPr>
        <w:jc w:val="both"/>
        <w:rPr>
          <w:rFonts w:ascii="Monsserrat" w:hAnsi="Monsserrat"/>
          <w:sz w:val="16"/>
          <w:szCs w:val="16"/>
        </w:rPr>
      </w:pPr>
    </w:p>
    <w:p w14:paraId="6E90BD9B" w14:textId="591DB10B" w:rsidR="00FD3EAB" w:rsidRPr="003D090B" w:rsidRDefault="00FD3EAB" w:rsidP="00FD3EAB">
      <w:pPr>
        <w:jc w:val="both"/>
        <w:rPr>
          <w:rFonts w:ascii="Monsserrat" w:hAnsi="Monsserrat"/>
          <w:sz w:val="25"/>
          <w:szCs w:val="25"/>
        </w:rPr>
      </w:pPr>
      <w:r w:rsidRPr="003D090B">
        <w:rPr>
          <w:rFonts w:ascii="Monsserrat" w:hAnsi="Monsserrat"/>
          <w:sz w:val="25"/>
          <w:szCs w:val="25"/>
        </w:rPr>
        <w:t>El gobierno federal, visionario de un proyecto para elevar el desarrollo de la zona sureste, invierte 13,891 millones de pesos, siendo el estado de Oaxaca una de las entidades federativas con grandes beneficios, los principales son: desarrollo industrial, generación de fuentes de trabajo para la región y elevar el nivel económico, explotación de los recursos naturales de la región, es menester hacer mención que el proyecto en cuestión lleva un avance del 60%.</w:t>
      </w:r>
    </w:p>
    <w:p w14:paraId="631DD407" w14:textId="77777777" w:rsidR="00C56C61" w:rsidRPr="003D090B" w:rsidRDefault="00C56C61" w:rsidP="00FD3EAB">
      <w:pPr>
        <w:jc w:val="both"/>
        <w:rPr>
          <w:rFonts w:ascii="Monsserrat" w:hAnsi="Monsserrat"/>
          <w:sz w:val="16"/>
          <w:szCs w:val="16"/>
        </w:rPr>
      </w:pPr>
    </w:p>
    <w:p w14:paraId="41C6C8C3"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Tren Interoceánico: Eje del Plan de Desarrollo del Istmo de Tehuantepec.</w:t>
      </w:r>
    </w:p>
    <w:p w14:paraId="0210B89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Proyecto: Plataforma logística y ecosistema de producción industrial formado por 10 polos de desarrollo, que une los puertos de Coatzacoalcos, Veracruz, en el Golfo de México, y Salina Cruz, Oaxaca, en el Pacífico.</w:t>
      </w:r>
    </w:p>
    <w:p w14:paraId="5685FA81" w14:textId="77777777" w:rsidR="00FD3EAB" w:rsidRPr="003D090B" w:rsidRDefault="00FD3EAB" w:rsidP="00FD3EAB">
      <w:pPr>
        <w:pStyle w:val="Prrafodelista"/>
        <w:keepNext/>
        <w:numPr>
          <w:ilvl w:val="0"/>
          <w:numId w:val="31"/>
        </w:numPr>
        <w:ind w:left="1066" w:hanging="357"/>
        <w:jc w:val="both"/>
        <w:rPr>
          <w:rFonts w:ascii="Monsserrat" w:hAnsi="Monsserrat"/>
          <w:sz w:val="25"/>
          <w:szCs w:val="25"/>
        </w:rPr>
      </w:pPr>
      <w:r w:rsidRPr="003D090B">
        <w:rPr>
          <w:rFonts w:ascii="Monsserrat" w:hAnsi="Monsserrat"/>
          <w:sz w:val="25"/>
          <w:szCs w:val="25"/>
        </w:rPr>
        <w:t>Longitud: 189 km en 5 tramos.</w:t>
      </w:r>
    </w:p>
    <w:p w14:paraId="6CE8008D" w14:textId="77777777" w:rsidR="00FD3EAB" w:rsidRPr="003D090B" w:rsidRDefault="00FD3EAB" w:rsidP="00FD3EAB">
      <w:pPr>
        <w:pStyle w:val="Prrafodelista"/>
        <w:numPr>
          <w:ilvl w:val="0"/>
          <w:numId w:val="31"/>
        </w:numPr>
        <w:jc w:val="both"/>
        <w:rPr>
          <w:rFonts w:ascii="Monsserrat" w:hAnsi="Monsserrat"/>
          <w:sz w:val="25"/>
          <w:szCs w:val="25"/>
        </w:rPr>
      </w:pPr>
      <w:r w:rsidRPr="003D090B">
        <w:rPr>
          <w:rFonts w:ascii="Monsserrat" w:hAnsi="Monsserrat"/>
          <w:sz w:val="25"/>
          <w:szCs w:val="25"/>
        </w:rPr>
        <w:t>El programa atraviesa por 46 municipios de Oaxaca.</w:t>
      </w:r>
    </w:p>
    <w:p w14:paraId="1B6A2254" w14:textId="77777777" w:rsidR="00FD3EAB" w:rsidRPr="003D090B" w:rsidRDefault="00FD3EAB" w:rsidP="00FD3EAB">
      <w:pPr>
        <w:pStyle w:val="Prrafodelista"/>
        <w:numPr>
          <w:ilvl w:val="0"/>
          <w:numId w:val="31"/>
        </w:numPr>
        <w:jc w:val="both"/>
        <w:rPr>
          <w:rFonts w:ascii="Monsserrat" w:hAnsi="Monsserrat"/>
          <w:sz w:val="25"/>
          <w:szCs w:val="25"/>
        </w:rPr>
      </w:pPr>
      <w:r w:rsidRPr="003D090B">
        <w:rPr>
          <w:rFonts w:ascii="Monsserrat" w:hAnsi="Monsserrat"/>
          <w:sz w:val="25"/>
          <w:szCs w:val="25"/>
        </w:rPr>
        <w:t>Inicio: junio 2020 Término: diciembre 2023</w:t>
      </w:r>
    </w:p>
    <w:p w14:paraId="51B3A2CB"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Beneficios:</w:t>
      </w:r>
    </w:p>
    <w:p w14:paraId="73791B03"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Fortalecimiento del sector industrial en la región que impulsa la creación de empleos y oportunidades para un desarrollo más equitativo.</w:t>
      </w:r>
    </w:p>
    <w:p w14:paraId="080E370F"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 xml:space="preserve">Fomenta las vocaciones productivas de la región a través de </w:t>
      </w:r>
      <w:proofErr w:type="spellStart"/>
      <w:proofErr w:type="gramStart"/>
      <w:r w:rsidRPr="003D090B">
        <w:rPr>
          <w:rFonts w:ascii="Monsserrat" w:hAnsi="Monsserrat"/>
          <w:sz w:val="25"/>
          <w:szCs w:val="25"/>
        </w:rPr>
        <w:t>clusters</w:t>
      </w:r>
      <w:proofErr w:type="spellEnd"/>
      <w:proofErr w:type="gramEnd"/>
      <w:r w:rsidRPr="003D090B">
        <w:rPr>
          <w:rFonts w:ascii="Monsserrat" w:hAnsi="Monsserrat"/>
          <w:sz w:val="25"/>
          <w:szCs w:val="25"/>
        </w:rPr>
        <w:t xml:space="preserve"> productivos.</w:t>
      </w:r>
    </w:p>
    <w:p w14:paraId="2462DC65"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lastRenderedPageBreak/>
        <w:t>Detona el desarrollo económico de la región del Istmo. Mejora el abasto de electricidad, petróleo y petrolíferos al centro y norte del país.</w:t>
      </w:r>
    </w:p>
    <w:p w14:paraId="7FADCD07"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Se instrumentarán 5 Polígonos de Bienestar para el Desarrollo, con el objeto de atraer inversión que fortalecerá la economía local.</w:t>
      </w:r>
    </w:p>
    <w:p w14:paraId="499F8A8A"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Se crea una zona libre, con incentivos fiscales y facilitación aduanera.</w:t>
      </w:r>
    </w:p>
    <w:p w14:paraId="0892B9DC" w14:textId="77777777" w:rsidR="00FD3EAB" w:rsidRPr="003D090B" w:rsidRDefault="00FD3EAB" w:rsidP="00FD3EAB">
      <w:pPr>
        <w:ind w:left="708"/>
        <w:jc w:val="both"/>
        <w:rPr>
          <w:rFonts w:ascii="Monsserrat" w:hAnsi="Monsserrat"/>
          <w:sz w:val="25"/>
          <w:szCs w:val="25"/>
        </w:rPr>
      </w:pPr>
      <w:r w:rsidRPr="003D090B">
        <w:rPr>
          <w:rFonts w:ascii="Monsserrat" w:hAnsi="Monsserrat"/>
          <w:sz w:val="25"/>
          <w:szCs w:val="25"/>
        </w:rPr>
        <w:t>(Fuente: Secretaría de Finanzas).</w:t>
      </w:r>
    </w:p>
    <w:p w14:paraId="7FF0EBB5"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En el Estado están por concluirse a corto plazo (2023) dos grandes proyectos que acortarán en tiempo y distancia la comunicación entre la Ciudad de Oaxaca y el Istmo de Tehuantepec y la Cuidad de Oaxaca con Puerto Escondido.</w:t>
      </w:r>
    </w:p>
    <w:p w14:paraId="588F8732"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Autopista Mitla-Tehuantepec (Istmo).</w:t>
      </w:r>
    </w:p>
    <w:p w14:paraId="15428087"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Beneficios:</w:t>
      </w:r>
    </w:p>
    <w:p w14:paraId="33497C15"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Conectar el centro del Estado con el corredor multimodal transístmico (corredor interoceánico).</w:t>
      </w:r>
    </w:p>
    <w:p w14:paraId="2529FE95"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Reducir los tiempos de recorrido en aproximadamente 3horas entre el centro del Estado y la región del Istmo.</w:t>
      </w:r>
    </w:p>
    <w:p w14:paraId="57186282"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Facilitar el desplazamiento de personas, el transporte de productos referentes a los derivados del petróleo y productos agrícolas y ganaderos.</w:t>
      </w:r>
    </w:p>
    <w:p w14:paraId="5D8800E6"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Población beneficiada directamente con la autopista: 79,970 habitantes de 13 municipios*.</w:t>
      </w:r>
    </w:p>
    <w:p w14:paraId="45975211" w14:textId="77777777" w:rsidR="00FD3EAB" w:rsidRPr="003D090B" w:rsidRDefault="00FD3EAB" w:rsidP="00FD3EAB">
      <w:pPr>
        <w:pStyle w:val="Prrafodelista"/>
        <w:numPr>
          <w:ilvl w:val="0"/>
          <w:numId w:val="35"/>
        </w:numPr>
        <w:jc w:val="both"/>
        <w:rPr>
          <w:rFonts w:ascii="Monsserrat" w:hAnsi="Monsserrat"/>
          <w:sz w:val="25"/>
          <w:szCs w:val="25"/>
        </w:rPr>
      </w:pPr>
      <w:r w:rsidRPr="003D090B">
        <w:rPr>
          <w:rFonts w:ascii="Monsserrat" w:hAnsi="Monsserrat"/>
          <w:sz w:val="25"/>
          <w:szCs w:val="25"/>
        </w:rPr>
        <w:t xml:space="preserve">Disminuir los costos de viaje. </w:t>
      </w:r>
    </w:p>
    <w:p w14:paraId="59344033"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Autopista Barranca-Ventanilla.</w:t>
      </w:r>
    </w:p>
    <w:p w14:paraId="448FBF3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Beneficios:</w:t>
      </w:r>
    </w:p>
    <w:p w14:paraId="59A68C65"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Incrementar la estadía de turistas, incrementando el consumo de bienes y servicios.</w:t>
      </w:r>
    </w:p>
    <w:p w14:paraId="6564F779"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Facilita el acceso a servicios básicos: educación, salud, empleos.</w:t>
      </w:r>
    </w:p>
    <w:p w14:paraId="6D76D5AA"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Reducir los tiempos de recorrido entre la capital del Estado y la costa de la entidad en 4 horas.</w:t>
      </w:r>
    </w:p>
    <w:p w14:paraId="02EFCC81"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Facilitar el desplazamiento de personas, mayoritariamente turístico, así como del transporte de carga.</w:t>
      </w:r>
    </w:p>
    <w:p w14:paraId="44851A26"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Población beneficiada directamente: 110,777 habitantes de 11 comunidades, 7 municipios.</w:t>
      </w:r>
    </w:p>
    <w:p w14:paraId="414900DE"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Genera incentivos de inversión nacional y extranjera.</w:t>
      </w:r>
    </w:p>
    <w:p w14:paraId="28B3260F" w14:textId="77777777" w:rsidR="00FD3EAB" w:rsidRPr="003D090B" w:rsidRDefault="00FD3EAB" w:rsidP="00FD3EAB">
      <w:pPr>
        <w:pStyle w:val="Prrafodelista"/>
        <w:numPr>
          <w:ilvl w:val="0"/>
          <w:numId w:val="36"/>
        </w:numPr>
        <w:jc w:val="both"/>
        <w:rPr>
          <w:rFonts w:ascii="Monsserrat" w:hAnsi="Monsserrat"/>
          <w:sz w:val="25"/>
          <w:szCs w:val="25"/>
        </w:rPr>
      </w:pPr>
      <w:r w:rsidRPr="003D090B">
        <w:rPr>
          <w:rFonts w:ascii="Monsserrat" w:hAnsi="Monsserrat"/>
          <w:sz w:val="25"/>
          <w:szCs w:val="25"/>
        </w:rPr>
        <w:t>Disminuyen los costos de viaje</w:t>
      </w:r>
    </w:p>
    <w:p w14:paraId="7BC7C604"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 Montos estimados con base en reportes de SCT. Los recursos privados se refieran a un esquema de APP, </w:t>
      </w:r>
      <w:proofErr w:type="spellStart"/>
      <w:r w:rsidRPr="003D090B">
        <w:rPr>
          <w:rFonts w:ascii="Monsserrat" w:hAnsi="Monsserrat"/>
          <w:sz w:val="25"/>
          <w:szCs w:val="25"/>
        </w:rPr>
        <w:t>PPS</w:t>
      </w:r>
      <w:proofErr w:type="spellEnd"/>
      <w:r w:rsidRPr="003D090B">
        <w:rPr>
          <w:rFonts w:ascii="Monsserrat" w:hAnsi="Monsserrat"/>
          <w:sz w:val="25"/>
          <w:szCs w:val="25"/>
        </w:rPr>
        <w:t xml:space="preserve"> o Concesión.</w:t>
      </w:r>
    </w:p>
    <w:p w14:paraId="3A048CFA"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 Los montos no consideran estudios de </w:t>
      </w:r>
      <w:proofErr w:type="gramStart"/>
      <w:r w:rsidRPr="003D090B">
        <w:rPr>
          <w:rFonts w:ascii="Monsserrat" w:hAnsi="Monsserrat"/>
          <w:sz w:val="25"/>
          <w:szCs w:val="25"/>
        </w:rPr>
        <w:t>pre inversión</w:t>
      </w:r>
      <w:proofErr w:type="gramEnd"/>
      <w:r w:rsidRPr="003D090B">
        <w:rPr>
          <w:rFonts w:ascii="Monsserrat" w:hAnsi="Monsserrat"/>
          <w:sz w:val="25"/>
          <w:szCs w:val="25"/>
        </w:rPr>
        <w:t>.</w:t>
      </w:r>
    </w:p>
    <w:p w14:paraId="5BA120AB" w14:textId="77777777"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lastRenderedPageBreak/>
        <w:t>3. Autorización e Historia.</w:t>
      </w:r>
    </w:p>
    <w:p w14:paraId="4F6F35C2"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 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786E340E"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 xml:space="preserve">Oaxaca representa el 4.8%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w:t>
      </w:r>
      <w:proofErr w:type="spellStart"/>
      <w:r w:rsidRPr="003D090B">
        <w:rPr>
          <w:rFonts w:ascii="Monsserrat" w:hAnsi="Monsserrat"/>
          <w:sz w:val="25"/>
          <w:szCs w:val="25"/>
        </w:rPr>
        <w:t>huaves</w:t>
      </w:r>
      <w:proofErr w:type="spellEnd"/>
      <w:r w:rsidRPr="003D090B">
        <w:rPr>
          <w:rFonts w:ascii="Monsserrat" w:hAnsi="Monsserrat"/>
          <w:sz w:val="25"/>
          <w:szCs w:val="25"/>
        </w:rPr>
        <w:t xml:space="preserve">, mazatecos, amuzgos, nahuas, zoques, chontales de Oaxaca, cuicatecos, </w:t>
      </w:r>
      <w:proofErr w:type="spellStart"/>
      <w:r w:rsidRPr="003D090B">
        <w:rPr>
          <w:rFonts w:ascii="Monsserrat" w:hAnsi="Monsserrat"/>
          <w:sz w:val="25"/>
          <w:szCs w:val="25"/>
        </w:rPr>
        <w:t>ixcatecos</w:t>
      </w:r>
      <w:proofErr w:type="spellEnd"/>
      <w:r w:rsidRPr="003D090B">
        <w:rPr>
          <w:rFonts w:ascii="Monsserrat" w:hAnsi="Monsserrat"/>
          <w:sz w:val="25"/>
          <w:szCs w:val="25"/>
        </w:rPr>
        <w:t xml:space="preserve">, </w:t>
      </w:r>
      <w:proofErr w:type="spellStart"/>
      <w:r w:rsidRPr="003D090B">
        <w:rPr>
          <w:rFonts w:ascii="Monsserrat" w:hAnsi="Monsserrat"/>
          <w:sz w:val="25"/>
          <w:szCs w:val="25"/>
        </w:rPr>
        <w:t>chocholtecos</w:t>
      </w:r>
      <w:proofErr w:type="spellEnd"/>
      <w:r w:rsidRPr="003D090B">
        <w:rPr>
          <w:rFonts w:ascii="Monsserrat" w:hAnsi="Monsserrat"/>
          <w:sz w:val="25"/>
          <w:szCs w:val="25"/>
        </w:rPr>
        <w:t xml:space="preserve">, </w:t>
      </w:r>
      <w:proofErr w:type="spellStart"/>
      <w:r w:rsidRPr="003D090B">
        <w:rPr>
          <w:rFonts w:ascii="Monsserrat" w:hAnsi="Monsserrat"/>
          <w:sz w:val="25"/>
          <w:szCs w:val="25"/>
        </w:rPr>
        <w:t>tacuates</w:t>
      </w:r>
      <w:proofErr w:type="spellEnd"/>
      <w:r w:rsidRPr="003D090B">
        <w:rPr>
          <w:rFonts w:ascii="Monsserrat" w:hAnsi="Monsserrat"/>
          <w:sz w:val="25"/>
          <w:szCs w:val="25"/>
        </w:rPr>
        <w:t xml:space="preserve">, </w:t>
      </w:r>
      <w:proofErr w:type="spellStart"/>
      <w:r w:rsidRPr="003D090B">
        <w:rPr>
          <w:rFonts w:ascii="Monsserrat" w:hAnsi="Monsserrat"/>
          <w:sz w:val="25"/>
          <w:szCs w:val="25"/>
        </w:rPr>
        <w:t>afromestizos</w:t>
      </w:r>
      <w:proofErr w:type="spellEnd"/>
      <w:r w:rsidRPr="003D090B">
        <w:rPr>
          <w:rFonts w:ascii="Monsserrat" w:hAnsi="Monsserrat"/>
          <w:sz w:val="25"/>
          <w:szCs w:val="25"/>
        </w:rPr>
        <w:t xml:space="preserve"> de la costa chica y en menor medida tzotziles; que en conjunto superan el millón de habitantes –alrededor del 34.2% total- distribuidos en 2.563 localidades</w:t>
      </w:r>
    </w:p>
    <w:p w14:paraId="36D00276"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 xml:space="preserve">El nombre proviene de la denominación náhuatl </w:t>
      </w:r>
      <w:proofErr w:type="spellStart"/>
      <w:r w:rsidRPr="003D090B">
        <w:rPr>
          <w:rFonts w:ascii="Monsserrat" w:hAnsi="Monsserrat"/>
          <w:sz w:val="25"/>
          <w:szCs w:val="25"/>
        </w:rPr>
        <w:t>Huāxyacac</w:t>
      </w:r>
      <w:proofErr w:type="spellEnd"/>
      <w:r w:rsidRPr="003D090B">
        <w:rPr>
          <w:rFonts w:ascii="Monsserrat" w:hAnsi="Monsserrat"/>
          <w:sz w:val="25"/>
          <w:szCs w:val="25"/>
        </w:rPr>
        <w:t xml:space="preserve">, impuesta por los conquistadores aztecas en el siglo XV, en el momento de su incorporación al imperio </w:t>
      </w:r>
      <w:proofErr w:type="spellStart"/>
      <w:r w:rsidRPr="003D090B">
        <w:rPr>
          <w:rFonts w:ascii="Monsserrat" w:hAnsi="Monsserrat"/>
          <w:sz w:val="25"/>
          <w:szCs w:val="25"/>
        </w:rPr>
        <w:t>tenochca</w:t>
      </w:r>
      <w:proofErr w:type="spellEnd"/>
      <w:r w:rsidRPr="003D090B">
        <w:rPr>
          <w:rFonts w:ascii="Monsserrat" w:hAnsi="Monsserrat"/>
          <w:sz w:val="25"/>
          <w:szCs w:val="25"/>
        </w:rPr>
        <w:t xml:space="preserve">; </w:t>
      </w:r>
      <w:proofErr w:type="spellStart"/>
      <w:r w:rsidRPr="003D090B">
        <w:rPr>
          <w:rFonts w:ascii="Monsserrat" w:hAnsi="Monsserrat"/>
          <w:sz w:val="25"/>
          <w:szCs w:val="25"/>
        </w:rPr>
        <w:t>Huāx</w:t>
      </w:r>
      <w:proofErr w:type="spellEnd"/>
      <w:r w:rsidRPr="003D090B">
        <w:rPr>
          <w:rFonts w:ascii="Monsserrat" w:hAnsi="Monsserrat"/>
          <w:sz w:val="25"/>
          <w:szCs w:val="25"/>
        </w:rPr>
        <w:t xml:space="preserve"> significa en español ‘huaje’, planta común en la región de los valles; yaca significa, literalmente, ‘nariz’, y el sufijo ‘c’ es equivalente a </w:t>
      </w:r>
      <w:proofErr w:type="spellStart"/>
      <w:r w:rsidRPr="003D090B">
        <w:rPr>
          <w:rFonts w:ascii="Monsserrat" w:hAnsi="Monsserrat"/>
          <w:sz w:val="25"/>
          <w:szCs w:val="25"/>
        </w:rPr>
        <w:t>tepec</w:t>
      </w:r>
      <w:proofErr w:type="spellEnd"/>
      <w:r w:rsidRPr="003D090B">
        <w:rPr>
          <w:rFonts w:ascii="Monsserrat" w:hAnsi="Monsserrat"/>
          <w:sz w:val="25"/>
          <w:szCs w:val="25"/>
        </w:rPr>
        <w:t xml:space="preserve">, ‘lugar’, de una forma abreviada. Fonéticamente, el glifo correspondiente se leería como </w:t>
      </w:r>
      <w:proofErr w:type="spellStart"/>
      <w:r w:rsidRPr="003D090B">
        <w:rPr>
          <w:rFonts w:ascii="Monsserrat" w:hAnsi="Monsserrat"/>
          <w:sz w:val="25"/>
          <w:szCs w:val="25"/>
        </w:rPr>
        <w:t>Huaxyacatepec</w:t>
      </w:r>
      <w:proofErr w:type="spellEnd"/>
      <w:r w:rsidRPr="003D090B">
        <w:rPr>
          <w:rFonts w:ascii="Monsserrat" w:hAnsi="Monsserrat"/>
          <w:sz w:val="25"/>
          <w:szCs w:val="25"/>
        </w:rPr>
        <w:t>, es decir, “en la punta de los huajes”. Una adaptación lingüística de los conquistadores españoles derivó en el actual Oaxaca.</w:t>
      </w:r>
    </w:p>
    <w:p w14:paraId="64FB28A1"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 xml:space="preserve">La presencia del hombre en Oaxaca se remonta al 7500 a. C. Aproximadamente, en lugares como la cueva </w:t>
      </w:r>
      <w:proofErr w:type="spellStart"/>
      <w:r w:rsidRPr="003D090B">
        <w:rPr>
          <w:rFonts w:ascii="Monsserrat" w:hAnsi="Monsserrat"/>
          <w:sz w:val="25"/>
          <w:szCs w:val="25"/>
        </w:rPr>
        <w:t>GuiláNazquitz</w:t>
      </w:r>
      <w:proofErr w:type="spellEnd"/>
      <w:r w:rsidRPr="003D090B">
        <w:rPr>
          <w:rFonts w:ascii="Monsserrat" w:hAnsi="Monsserrat"/>
          <w:sz w:val="25"/>
          <w:szCs w:val="25"/>
        </w:rPr>
        <w:t>, cerca de Mitla. En Yagul se han hallado pinturas rupestres relacionadas a grupos nómadas ligados a los primeros pobladores del valle de Oaxaca.</w:t>
      </w:r>
    </w:p>
    <w:p w14:paraId="1252986F"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05AE9C0A"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lastRenderedPageBreak/>
        <w:t xml:space="preserve">Oaxaca fue fundada por los guerreros del emperador azteca </w:t>
      </w:r>
      <w:proofErr w:type="spellStart"/>
      <w:r w:rsidRPr="003D090B">
        <w:rPr>
          <w:rFonts w:ascii="Monsserrat" w:hAnsi="Monsserrat"/>
          <w:sz w:val="25"/>
          <w:szCs w:val="25"/>
        </w:rPr>
        <w:t>Ahuizotl</w:t>
      </w:r>
      <w:proofErr w:type="spellEnd"/>
      <w:r w:rsidRPr="003D090B">
        <w:rPr>
          <w:rFonts w:ascii="Monsserrat" w:hAnsi="Monsserrat"/>
          <w:sz w:val="25"/>
          <w:szCs w:val="25"/>
        </w:rPr>
        <w:t xml:space="preserve"> en el año de 1486. En 1532, por cédula real, recibió del rey Carlos V de España el título de “Muy noble y leal ciudad”, llamándose “Antequera”, nombre que en 1821 fue sustituido por Oaxaca, palabra derivada de la voz náhuatl </w:t>
      </w:r>
      <w:proofErr w:type="spellStart"/>
      <w:r w:rsidRPr="003D090B">
        <w:rPr>
          <w:rFonts w:ascii="Monsserrat" w:hAnsi="Monsserrat"/>
          <w:sz w:val="25"/>
          <w:szCs w:val="25"/>
        </w:rPr>
        <w:t>Huaxyácac</w:t>
      </w:r>
      <w:proofErr w:type="spellEnd"/>
      <w:r w:rsidRPr="003D090B">
        <w:rPr>
          <w:rFonts w:ascii="Monsserrat" w:hAnsi="Monsserrat"/>
          <w:sz w:val="25"/>
          <w:szCs w:val="25"/>
        </w:rPr>
        <w:t>. En 1872 a la muerte del Benemérito de las Américas, don Benito Juárez, recibió el nombre que actualmente ostenta: Oaxaca de Juárez.</w:t>
      </w:r>
    </w:p>
    <w:p w14:paraId="16A4EA93"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 xml:space="preserve">Oaxaca ha sido cuna de otras muchas personas ilustres, como Porfirio Díaz —quien llegó a ser al igual que Juárez, presidente de la República—, los hermanos Flores Magón, José Vasconcelos, Abraham Castellanos, entre otros destacados en el ámbito político. En el campo de las artes sobresalen Miguel Cabrera, Rufino Tamayo, Francisco Toledo, Rodolfo Morales, Alfredo Canseco </w:t>
      </w:r>
      <w:proofErr w:type="spellStart"/>
      <w:r w:rsidRPr="003D090B">
        <w:rPr>
          <w:rFonts w:ascii="Monsserrat" w:hAnsi="Monsserrat"/>
          <w:sz w:val="25"/>
          <w:szCs w:val="25"/>
        </w:rPr>
        <w:t>Feraud</w:t>
      </w:r>
      <w:proofErr w:type="spellEnd"/>
      <w:r w:rsidRPr="003D090B">
        <w:rPr>
          <w:rFonts w:ascii="Monsserrat" w:hAnsi="Monsserrat"/>
          <w:sz w:val="25"/>
          <w:szCs w:val="25"/>
        </w:rPr>
        <w:t xml:space="preserve"> y Macedonio Alcalá, además de mujeres como Teodora Blanco.</w:t>
      </w:r>
    </w:p>
    <w:p w14:paraId="4FC7D30E"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3FF8AF21" w14:textId="4DBA1F73"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Para efectos de poder dar cumplimiento a sus obligaciones fiscales el Gobierno del Estado de Oaxaca se inscribió al registro federal de contribuyentes como Persona Moral con Fines no Lucrativos en los términos de la Ley del Impuesto Sobre la Renta con fecha el 01 de junio de 1962.</w:t>
      </w:r>
    </w:p>
    <w:p w14:paraId="7A537003" w14:textId="77777777" w:rsidR="00FD3EAB" w:rsidRPr="003D090B" w:rsidRDefault="00FD3EAB" w:rsidP="00FD3EAB">
      <w:pPr>
        <w:rPr>
          <w:rFonts w:ascii="Monsserrat" w:hAnsi="Monsserrat"/>
          <w:b/>
          <w:sz w:val="25"/>
          <w:szCs w:val="25"/>
        </w:rPr>
      </w:pPr>
      <w:r w:rsidRPr="003D090B">
        <w:rPr>
          <w:rFonts w:ascii="Monsserrat" w:hAnsi="Monsserrat"/>
          <w:b/>
          <w:sz w:val="25"/>
          <w:szCs w:val="25"/>
        </w:rPr>
        <w:t>4. Organización y Objeto Social.</w:t>
      </w:r>
    </w:p>
    <w:p w14:paraId="6DFD0E9C" w14:textId="77777777" w:rsidR="00FD3EAB" w:rsidRPr="003D090B" w:rsidRDefault="00FD3EAB" w:rsidP="00FD3EAB">
      <w:pPr>
        <w:rPr>
          <w:rFonts w:ascii="Monsserrat" w:hAnsi="Monsserrat"/>
          <w:b/>
          <w:sz w:val="25"/>
          <w:szCs w:val="25"/>
        </w:rPr>
      </w:pPr>
    </w:p>
    <w:p w14:paraId="202669B0"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a) Objeto social.</w:t>
      </w:r>
    </w:p>
    <w:p w14:paraId="7CB157E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La Administración Pública del Estado conducirá sus actividades en forma programada, con base en las políticas de planeación que establezca el Titular del Ejecutivo del Estado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3A8555DD" w14:textId="77777777" w:rsidR="00FD3EAB" w:rsidRPr="003D090B" w:rsidRDefault="00FD3EAB" w:rsidP="00FD3EAB">
      <w:pPr>
        <w:spacing w:before="280"/>
        <w:jc w:val="both"/>
        <w:rPr>
          <w:rFonts w:ascii="Monsserrat" w:hAnsi="Monsserrat"/>
          <w:b/>
          <w:sz w:val="25"/>
          <w:szCs w:val="25"/>
        </w:rPr>
      </w:pPr>
      <w:r w:rsidRPr="003D090B">
        <w:rPr>
          <w:rFonts w:ascii="Monsserrat" w:hAnsi="Monsserrat"/>
          <w:b/>
          <w:sz w:val="25"/>
          <w:szCs w:val="25"/>
        </w:rPr>
        <w:t>b) Principal actividad</w:t>
      </w:r>
    </w:p>
    <w:p w14:paraId="283BD455"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La administración Pública centralizada del Estado, es parte del poder Ejecutivo del Gobierno del Estado, para la realización de actos administrativos, jurídicos y </w:t>
      </w:r>
      <w:r w:rsidRPr="003D090B">
        <w:rPr>
          <w:rFonts w:ascii="Monsserrat" w:hAnsi="Monsserrat"/>
          <w:sz w:val="25"/>
          <w:szCs w:val="25"/>
        </w:rPr>
        <w:lastRenderedPageBreak/>
        <w:t>materiales, para la prestación de los servicios públicos y la producción de bienes para satisfacer las necesidades colectivas.</w:t>
      </w:r>
    </w:p>
    <w:p w14:paraId="1A4D7A94" w14:textId="77777777" w:rsidR="00FD3EAB" w:rsidRPr="003D090B" w:rsidRDefault="00FD3EAB" w:rsidP="00FD3EAB">
      <w:pPr>
        <w:spacing w:after="280"/>
        <w:jc w:val="both"/>
        <w:rPr>
          <w:rFonts w:ascii="Monsserrat" w:hAnsi="Monsserrat"/>
          <w:sz w:val="25"/>
          <w:szCs w:val="25"/>
        </w:rPr>
      </w:pPr>
    </w:p>
    <w:p w14:paraId="29642E00" w14:textId="77777777" w:rsidR="00FD3EAB" w:rsidRPr="003D090B" w:rsidRDefault="00FD3EAB" w:rsidP="00FD3EAB">
      <w:pPr>
        <w:spacing w:before="280"/>
        <w:jc w:val="both"/>
        <w:rPr>
          <w:rFonts w:ascii="Monsserrat" w:hAnsi="Monsserrat"/>
          <w:b/>
          <w:sz w:val="25"/>
          <w:szCs w:val="25"/>
        </w:rPr>
      </w:pPr>
      <w:r w:rsidRPr="003D090B">
        <w:rPr>
          <w:rFonts w:ascii="Monsserrat" w:hAnsi="Monsserrat"/>
          <w:b/>
          <w:sz w:val="25"/>
          <w:szCs w:val="25"/>
        </w:rPr>
        <w:t>c) Ejercicio fiscal</w:t>
      </w:r>
    </w:p>
    <w:p w14:paraId="03456C4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Las cifras contenidas en los Estados Financieros y que se mencionan en estas notas se presentan al 30 de junio de 2022.</w:t>
      </w:r>
    </w:p>
    <w:p w14:paraId="19569A36" w14:textId="77777777" w:rsidR="00FD3EAB" w:rsidRPr="003D090B" w:rsidRDefault="00FD3EAB" w:rsidP="00FD3EAB">
      <w:pPr>
        <w:jc w:val="both"/>
        <w:rPr>
          <w:rFonts w:ascii="Monsserrat" w:hAnsi="Monsserrat"/>
          <w:sz w:val="25"/>
          <w:szCs w:val="25"/>
        </w:rPr>
      </w:pPr>
    </w:p>
    <w:p w14:paraId="2A66BD9F"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d) Régimen Jurídico</w:t>
      </w:r>
    </w:p>
    <w:p w14:paraId="4285497D" w14:textId="77777777" w:rsidR="00FD3EAB" w:rsidRPr="003D090B" w:rsidRDefault="00FD3EAB" w:rsidP="00FD3EAB">
      <w:pPr>
        <w:jc w:val="both"/>
        <w:rPr>
          <w:rFonts w:ascii="Monsserrat" w:hAnsi="Monsserrat"/>
          <w:b/>
          <w:sz w:val="25"/>
          <w:szCs w:val="25"/>
        </w:rPr>
      </w:pPr>
    </w:p>
    <w:p w14:paraId="0E611A4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Poder ejecutivo está regulado por la siguiente legislación:</w:t>
      </w:r>
    </w:p>
    <w:p w14:paraId="26336920" w14:textId="77777777" w:rsidR="00FD3EAB" w:rsidRPr="003D090B" w:rsidRDefault="00FD3EAB" w:rsidP="00FD3EAB">
      <w:pPr>
        <w:numPr>
          <w:ilvl w:val="0"/>
          <w:numId w:val="16"/>
        </w:numPr>
        <w:pBdr>
          <w:top w:val="nil"/>
          <w:left w:val="nil"/>
          <w:bottom w:val="nil"/>
          <w:right w:val="nil"/>
          <w:between w:val="nil"/>
        </w:pBdr>
        <w:spacing w:before="280"/>
        <w:jc w:val="both"/>
        <w:rPr>
          <w:rFonts w:ascii="Monsserrat" w:hAnsi="Monsserrat"/>
          <w:color w:val="000000"/>
          <w:sz w:val="25"/>
          <w:szCs w:val="25"/>
        </w:rPr>
      </w:pPr>
      <w:r w:rsidRPr="003D090B">
        <w:rPr>
          <w:rFonts w:ascii="Monsserrat" w:hAnsi="Monsserrat"/>
          <w:color w:val="000000"/>
          <w:sz w:val="25"/>
          <w:szCs w:val="25"/>
        </w:rPr>
        <w:t>La Constitución Política de los Estados Unidos Mexicanos.</w:t>
      </w:r>
    </w:p>
    <w:p w14:paraId="1D54BEDA"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Constitución Política del Estado Libre y Soberano de Oaxaca.</w:t>
      </w:r>
    </w:p>
    <w:p w14:paraId="572A7CF2"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Orgánica del Poder Ejecutivo del Estado de Oaxaca</w:t>
      </w:r>
    </w:p>
    <w:p w14:paraId="14084242"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Estatal de Presupuesto y Responsabilidad Hacendaria</w:t>
      </w:r>
    </w:p>
    <w:p w14:paraId="1BE29880"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General de Contabilidad Gubernamental.</w:t>
      </w:r>
    </w:p>
    <w:p w14:paraId="5F0114A7"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de Responsabilidades Administrativas del Estado y Municipios de Oaxaca.</w:t>
      </w:r>
    </w:p>
    <w:p w14:paraId="478246AD"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Estatal de Hacienda</w:t>
      </w:r>
    </w:p>
    <w:p w14:paraId="6BDE25EC"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de Coordinación Fiscal para el Estado de Oaxaca</w:t>
      </w:r>
    </w:p>
    <w:p w14:paraId="4461CF16"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de Deuda Pública para el Estado de Oaxaca</w:t>
      </w:r>
    </w:p>
    <w:p w14:paraId="77525EAC"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de Transparencia y Acceso a la Información Pública para el Estado de Oaxaca</w:t>
      </w:r>
    </w:p>
    <w:p w14:paraId="2E06EAF7"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Ley de Ingresos del Estado de Oaxaca para el periodo 2022</w:t>
      </w:r>
    </w:p>
    <w:p w14:paraId="5A70D095"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Presupuestos de Egresos del Estado de Oaxaca para el periodo 2022</w:t>
      </w:r>
    </w:p>
    <w:p w14:paraId="34FECF94" w14:textId="77777777" w:rsidR="00FD3EAB" w:rsidRPr="003D090B" w:rsidRDefault="00FD3EAB" w:rsidP="00FD3EAB">
      <w:pPr>
        <w:numPr>
          <w:ilvl w:val="0"/>
          <w:numId w:val="16"/>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Entre otras.</w:t>
      </w:r>
    </w:p>
    <w:p w14:paraId="52C300E6" w14:textId="77777777" w:rsidR="00FD3EAB" w:rsidRPr="003D090B" w:rsidRDefault="00FD3EAB" w:rsidP="00FD3EAB">
      <w:pPr>
        <w:spacing w:before="280"/>
        <w:jc w:val="both"/>
        <w:rPr>
          <w:rFonts w:ascii="Monsserrat" w:hAnsi="Monsserrat"/>
          <w:b/>
          <w:sz w:val="25"/>
          <w:szCs w:val="25"/>
        </w:rPr>
      </w:pPr>
      <w:r w:rsidRPr="003D090B">
        <w:rPr>
          <w:rFonts w:ascii="Monsserrat" w:hAnsi="Monsserrat"/>
          <w:b/>
          <w:sz w:val="25"/>
          <w:szCs w:val="25"/>
        </w:rPr>
        <w:t>e) Obligaciones fiscales del ente</w:t>
      </w:r>
    </w:p>
    <w:p w14:paraId="1E065119" w14:textId="77777777" w:rsidR="00FD3EAB" w:rsidRPr="003D090B" w:rsidRDefault="00FD3EAB" w:rsidP="00FD3EAB">
      <w:pPr>
        <w:jc w:val="both"/>
        <w:rPr>
          <w:rFonts w:ascii="Monsserrat" w:hAnsi="Monsserrat"/>
          <w:b/>
          <w:sz w:val="25"/>
          <w:szCs w:val="25"/>
        </w:rPr>
      </w:pPr>
    </w:p>
    <w:p w14:paraId="7361E1E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Poder Ejecutivo es un organismo de la Administración Pública. Las obligaciones fiscales de la administración Pública centralizada del estado son las siguientes:</w:t>
      </w:r>
    </w:p>
    <w:p w14:paraId="0D235E9E" w14:textId="77777777" w:rsidR="00FD3EAB" w:rsidRPr="003D090B" w:rsidRDefault="00FD3EAB" w:rsidP="00FD3EAB">
      <w:pPr>
        <w:spacing w:after="280"/>
        <w:jc w:val="both"/>
        <w:rPr>
          <w:rFonts w:ascii="Monsserrat" w:hAnsi="Monsserrat"/>
          <w:sz w:val="25"/>
          <w:szCs w:val="25"/>
        </w:rPr>
      </w:pPr>
    </w:p>
    <w:p w14:paraId="20F179D7" w14:textId="77777777" w:rsidR="00FD3EAB" w:rsidRPr="003D090B" w:rsidRDefault="00FD3EAB" w:rsidP="00FD3EAB">
      <w:pPr>
        <w:numPr>
          <w:ilvl w:val="0"/>
          <w:numId w:val="22"/>
        </w:numPr>
        <w:pBdr>
          <w:top w:val="nil"/>
          <w:left w:val="nil"/>
          <w:bottom w:val="nil"/>
          <w:right w:val="nil"/>
          <w:between w:val="nil"/>
        </w:pBdr>
        <w:spacing w:before="280"/>
        <w:jc w:val="both"/>
        <w:rPr>
          <w:rFonts w:ascii="Monsserrat" w:hAnsi="Monsserrat"/>
          <w:color w:val="000000"/>
          <w:sz w:val="25"/>
          <w:szCs w:val="25"/>
        </w:rPr>
      </w:pPr>
      <w:r w:rsidRPr="003D090B">
        <w:rPr>
          <w:rFonts w:ascii="Monsserrat" w:hAnsi="Monsserrat"/>
          <w:color w:val="000000"/>
          <w:sz w:val="25"/>
          <w:szCs w:val="25"/>
        </w:rPr>
        <w:t>Declaración mensual de los ingresos por salarios y en general por la prestación de un servicio personal subordinado.</w:t>
      </w:r>
    </w:p>
    <w:p w14:paraId="6ADBE78C" w14:textId="77777777" w:rsidR="00FD3EAB" w:rsidRPr="003D090B" w:rsidRDefault="00FD3EAB" w:rsidP="00FD3EAB">
      <w:pPr>
        <w:numPr>
          <w:ilvl w:val="0"/>
          <w:numId w:val="22"/>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Declaración mensual de las personas físicas con actividades empresariales y profesionales.</w:t>
      </w:r>
    </w:p>
    <w:p w14:paraId="114ED9C7" w14:textId="77777777" w:rsidR="00FD3EAB" w:rsidRPr="003D090B" w:rsidRDefault="00FD3EAB" w:rsidP="00FD3EAB">
      <w:pPr>
        <w:numPr>
          <w:ilvl w:val="0"/>
          <w:numId w:val="22"/>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Declaración anual de Impuesto Sobre la Renta (</w:t>
      </w:r>
      <w:proofErr w:type="spellStart"/>
      <w:r w:rsidRPr="003D090B">
        <w:rPr>
          <w:rFonts w:ascii="Monsserrat" w:hAnsi="Monsserrat"/>
          <w:color w:val="000000"/>
          <w:sz w:val="25"/>
          <w:szCs w:val="25"/>
        </w:rPr>
        <w:t>I.S.R</w:t>
      </w:r>
      <w:proofErr w:type="spellEnd"/>
      <w:r w:rsidRPr="003D090B">
        <w:rPr>
          <w:rFonts w:ascii="Monsserrat" w:hAnsi="Monsserrat"/>
          <w:color w:val="000000"/>
          <w:sz w:val="25"/>
          <w:szCs w:val="25"/>
        </w:rPr>
        <w:t>.) donde informe de las retenciones efectuadas por pagos de Rentas de Bienes Inmuebles.</w:t>
      </w:r>
    </w:p>
    <w:p w14:paraId="19055AC5" w14:textId="77777777" w:rsidR="00FD3EAB" w:rsidRPr="003D090B" w:rsidRDefault="00FD3EAB" w:rsidP="00FD3EAB">
      <w:pPr>
        <w:numPr>
          <w:ilvl w:val="0"/>
          <w:numId w:val="22"/>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lastRenderedPageBreak/>
        <w:t>Declaración anual donde se informe sobre las retenciones de los trabajadores que recibieron Sueldos y Salarios y Trabajadores asimilables a salarios.</w:t>
      </w:r>
    </w:p>
    <w:p w14:paraId="7D78093C" w14:textId="77777777" w:rsidR="00FD3EAB" w:rsidRPr="003D090B" w:rsidRDefault="00FD3EAB" w:rsidP="00FD3EAB">
      <w:pPr>
        <w:numPr>
          <w:ilvl w:val="0"/>
          <w:numId w:val="22"/>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 xml:space="preserve">Presentar la Declaración Informativa Semestral por la Recaudación del </w:t>
      </w:r>
      <w:proofErr w:type="spellStart"/>
      <w:r w:rsidRPr="003D090B">
        <w:rPr>
          <w:rFonts w:ascii="Monsserrat" w:hAnsi="Monsserrat"/>
          <w:color w:val="000000"/>
          <w:sz w:val="25"/>
          <w:szCs w:val="25"/>
        </w:rPr>
        <w:t>IEPS</w:t>
      </w:r>
      <w:proofErr w:type="spellEnd"/>
      <w:r w:rsidRPr="003D090B">
        <w:rPr>
          <w:rFonts w:ascii="Monsserrat" w:hAnsi="Monsserrat"/>
          <w:color w:val="000000"/>
          <w:sz w:val="25"/>
          <w:szCs w:val="25"/>
        </w:rPr>
        <w:t xml:space="preserve"> por la Venta Final de Gasolinas y Diesel.</w:t>
      </w:r>
    </w:p>
    <w:p w14:paraId="0107428E" w14:textId="77777777" w:rsidR="00FD3EAB" w:rsidRPr="003D090B" w:rsidRDefault="00FD3EAB" w:rsidP="00FD3EAB">
      <w:pPr>
        <w:numPr>
          <w:ilvl w:val="0"/>
          <w:numId w:val="22"/>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Presentar la Declaración Informativa Anual de Subsidios para el Empleo.</w:t>
      </w:r>
    </w:p>
    <w:p w14:paraId="0E90E987" w14:textId="77777777" w:rsidR="00FD3EAB" w:rsidRPr="003D090B" w:rsidRDefault="00FD3EAB" w:rsidP="00FD3EAB">
      <w:pPr>
        <w:numPr>
          <w:ilvl w:val="0"/>
          <w:numId w:val="22"/>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Presentar la Declaración Informativa Mensual de Operaciones con Terceros.</w:t>
      </w:r>
    </w:p>
    <w:p w14:paraId="685B8C66" w14:textId="77777777" w:rsidR="00FD3EAB" w:rsidRPr="003D090B" w:rsidRDefault="00FD3EAB" w:rsidP="00FD3EAB">
      <w:pPr>
        <w:numPr>
          <w:ilvl w:val="0"/>
          <w:numId w:val="22"/>
        </w:numPr>
        <w:pBdr>
          <w:top w:val="nil"/>
          <w:left w:val="nil"/>
          <w:bottom w:val="nil"/>
          <w:right w:val="nil"/>
          <w:between w:val="nil"/>
        </w:pBdr>
        <w:spacing w:after="280"/>
        <w:jc w:val="both"/>
        <w:rPr>
          <w:rFonts w:ascii="Monsserrat" w:hAnsi="Monsserrat"/>
          <w:color w:val="000000"/>
          <w:sz w:val="25"/>
          <w:szCs w:val="25"/>
        </w:rPr>
      </w:pPr>
      <w:r w:rsidRPr="003D090B">
        <w:rPr>
          <w:rFonts w:ascii="Monsserrat" w:hAnsi="Monsserrat"/>
          <w:color w:val="000000"/>
          <w:sz w:val="25"/>
          <w:szCs w:val="25"/>
        </w:rPr>
        <w:t>Presentar la información del aviso para la aplicación de estímulos a entidades federativas, municipios y otros organismos públicos.</w:t>
      </w:r>
    </w:p>
    <w:p w14:paraId="207781E0" w14:textId="77777777"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f) Estructura Organizacional Básica.</w:t>
      </w:r>
    </w:p>
    <w:p w14:paraId="5247A14B"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2103AA44"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24A7BB63" w14:textId="77777777"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Administración Pública Centralizada</w:t>
      </w:r>
    </w:p>
    <w:p w14:paraId="51CC7FC8"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En los términos de la Ley Orgánica del Poder Ejecutivo del Estado de Oaxaca el titular del Poder Ejecutivo se auxiliará de las siguientes dependencias en los términos del artículo 27 de la citada ley:</w:t>
      </w:r>
    </w:p>
    <w:p w14:paraId="2D4F0C0D"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Gubernatura</w:t>
      </w:r>
    </w:p>
    <w:p w14:paraId="4C8E13E2"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Secretaría </w:t>
      </w:r>
      <w:proofErr w:type="gramStart"/>
      <w:r w:rsidRPr="003D090B">
        <w:rPr>
          <w:rFonts w:ascii="Monsserrat" w:hAnsi="Monsserrat"/>
          <w:color w:val="000000"/>
          <w:sz w:val="25"/>
          <w:szCs w:val="25"/>
        </w:rPr>
        <w:t>General  de</w:t>
      </w:r>
      <w:proofErr w:type="gramEnd"/>
      <w:r w:rsidRPr="003D090B">
        <w:rPr>
          <w:rFonts w:ascii="Monsserrat" w:hAnsi="Monsserrat"/>
          <w:color w:val="000000"/>
          <w:sz w:val="25"/>
          <w:szCs w:val="25"/>
        </w:rPr>
        <w:t xml:space="preserve"> Gobierno</w:t>
      </w:r>
    </w:p>
    <w:p w14:paraId="019D91AF"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Seguridad Pública</w:t>
      </w:r>
    </w:p>
    <w:p w14:paraId="14EA8C1E"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las Infraestructuras y el Ordenamiento Territorial Sustentable</w:t>
      </w:r>
    </w:p>
    <w:p w14:paraId="050E0E74"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Movilidad</w:t>
      </w:r>
    </w:p>
    <w:p w14:paraId="074D35EC"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lastRenderedPageBreak/>
        <w:t xml:space="preserve">Secretaría de las </w:t>
      </w:r>
      <w:proofErr w:type="gramStart"/>
      <w:r w:rsidRPr="003D090B">
        <w:rPr>
          <w:rFonts w:ascii="Monsserrat" w:hAnsi="Monsserrat"/>
          <w:color w:val="000000"/>
          <w:sz w:val="25"/>
          <w:szCs w:val="25"/>
        </w:rPr>
        <w:t>Culturas  y</w:t>
      </w:r>
      <w:proofErr w:type="gramEnd"/>
      <w:r w:rsidRPr="003D090B">
        <w:rPr>
          <w:rFonts w:ascii="Monsserrat" w:hAnsi="Monsserrat"/>
          <w:color w:val="000000"/>
          <w:sz w:val="25"/>
          <w:szCs w:val="25"/>
        </w:rPr>
        <w:t xml:space="preserve"> Artes de Oaxaca</w:t>
      </w:r>
    </w:p>
    <w:p w14:paraId="381A5C4A"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Bienestar del Estado de Oaxaca</w:t>
      </w:r>
    </w:p>
    <w:p w14:paraId="665351E5"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Secretaría de </w:t>
      </w:r>
      <w:proofErr w:type="gramStart"/>
      <w:r w:rsidRPr="003D090B">
        <w:rPr>
          <w:rFonts w:ascii="Monsserrat" w:hAnsi="Monsserrat"/>
          <w:color w:val="000000"/>
          <w:sz w:val="25"/>
          <w:szCs w:val="25"/>
        </w:rPr>
        <w:t>Pueblos  Indígenas</w:t>
      </w:r>
      <w:proofErr w:type="gramEnd"/>
      <w:r w:rsidRPr="003D090B">
        <w:rPr>
          <w:rFonts w:ascii="Monsserrat" w:hAnsi="Monsserrat"/>
          <w:color w:val="000000"/>
          <w:sz w:val="25"/>
          <w:szCs w:val="25"/>
        </w:rPr>
        <w:t xml:space="preserve">  y Afromexicano</w:t>
      </w:r>
    </w:p>
    <w:p w14:paraId="2579999B"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Desarrollo Agropecuario, Pesca y Acuacultura</w:t>
      </w:r>
    </w:p>
    <w:p w14:paraId="450699DD"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Finanzas</w:t>
      </w:r>
    </w:p>
    <w:p w14:paraId="294982DC"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Administración</w:t>
      </w:r>
    </w:p>
    <w:p w14:paraId="042E0805"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Administración-Dirección de Recursos Humanos</w:t>
      </w:r>
    </w:p>
    <w:p w14:paraId="74F64FFA"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la Contraloría y Transparencia Gubernamental</w:t>
      </w:r>
    </w:p>
    <w:p w14:paraId="28671173"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Consejería </w:t>
      </w:r>
      <w:proofErr w:type="gramStart"/>
      <w:r w:rsidRPr="003D090B">
        <w:rPr>
          <w:rFonts w:ascii="Monsserrat" w:hAnsi="Monsserrat"/>
          <w:color w:val="000000"/>
          <w:sz w:val="25"/>
          <w:szCs w:val="25"/>
        </w:rPr>
        <w:t>Jurídica  del</w:t>
      </w:r>
      <w:proofErr w:type="gramEnd"/>
      <w:r w:rsidRPr="003D090B">
        <w:rPr>
          <w:rFonts w:ascii="Monsserrat" w:hAnsi="Monsserrat"/>
          <w:color w:val="000000"/>
          <w:sz w:val="25"/>
          <w:szCs w:val="25"/>
        </w:rPr>
        <w:t xml:space="preserve"> Gobierno  del Estado</w:t>
      </w:r>
    </w:p>
    <w:p w14:paraId="15152459"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Coordinación </w:t>
      </w:r>
      <w:proofErr w:type="gramStart"/>
      <w:r w:rsidRPr="003D090B">
        <w:rPr>
          <w:rFonts w:ascii="Monsserrat" w:hAnsi="Monsserrat"/>
          <w:color w:val="000000"/>
          <w:sz w:val="25"/>
          <w:szCs w:val="25"/>
        </w:rPr>
        <w:t>General  de</w:t>
      </w:r>
      <w:proofErr w:type="gramEnd"/>
      <w:r w:rsidRPr="003D090B">
        <w:rPr>
          <w:rFonts w:ascii="Monsserrat" w:hAnsi="Monsserrat"/>
          <w:color w:val="000000"/>
          <w:sz w:val="25"/>
          <w:szCs w:val="25"/>
        </w:rPr>
        <w:t xml:space="preserve"> Educación Media Superior  y Superior,  Ciencia y Tecnología</w:t>
      </w:r>
    </w:p>
    <w:p w14:paraId="67202D51"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Coordinación </w:t>
      </w:r>
      <w:proofErr w:type="gramStart"/>
      <w:r w:rsidRPr="003D090B">
        <w:rPr>
          <w:rFonts w:ascii="Monsserrat" w:hAnsi="Monsserrat"/>
          <w:color w:val="000000"/>
          <w:sz w:val="25"/>
          <w:szCs w:val="25"/>
        </w:rPr>
        <w:t>General  de</w:t>
      </w:r>
      <w:proofErr w:type="gramEnd"/>
      <w:r w:rsidRPr="003D090B">
        <w:rPr>
          <w:rFonts w:ascii="Monsserrat" w:hAnsi="Monsserrat"/>
          <w:color w:val="000000"/>
          <w:sz w:val="25"/>
          <w:szCs w:val="25"/>
        </w:rPr>
        <w:t xml:space="preserve"> Comunicación Social y Vocería  Del Gobierno  del Estado</w:t>
      </w:r>
    </w:p>
    <w:p w14:paraId="58776519"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Coordinación para la </w:t>
      </w:r>
      <w:proofErr w:type="gramStart"/>
      <w:r w:rsidRPr="003D090B">
        <w:rPr>
          <w:rFonts w:ascii="Monsserrat" w:hAnsi="Monsserrat"/>
          <w:color w:val="000000"/>
          <w:sz w:val="25"/>
          <w:szCs w:val="25"/>
        </w:rPr>
        <w:t>Atención  de</w:t>
      </w:r>
      <w:proofErr w:type="gramEnd"/>
      <w:r w:rsidRPr="003D090B">
        <w:rPr>
          <w:rFonts w:ascii="Monsserrat" w:hAnsi="Monsserrat"/>
          <w:color w:val="000000"/>
          <w:sz w:val="25"/>
          <w:szCs w:val="25"/>
        </w:rPr>
        <w:t xml:space="preserve"> los Derechos Humanos</w:t>
      </w:r>
    </w:p>
    <w:p w14:paraId="776E66C4"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Coordinación </w:t>
      </w:r>
      <w:proofErr w:type="gramStart"/>
      <w:r w:rsidRPr="003D090B">
        <w:rPr>
          <w:rFonts w:ascii="Monsserrat" w:hAnsi="Monsserrat"/>
          <w:color w:val="000000"/>
          <w:sz w:val="25"/>
          <w:szCs w:val="25"/>
        </w:rPr>
        <w:t>General  del</w:t>
      </w:r>
      <w:proofErr w:type="gramEnd"/>
      <w:r w:rsidRPr="003D090B">
        <w:rPr>
          <w:rFonts w:ascii="Monsserrat" w:hAnsi="Monsserrat"/>
          <w:color w:val="000000"/>
          <w:sz w:val="25"/>
          <w:szCs w:val="25"/>
        </w:rPr>
        <w:t xml:space="preserve"> Comité Estatal De Planeación Para El Desarrollo De Oaxaca</w:t>
      </w:r>
    </w:p>
    <w:p w14:paraId="6169629D"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Secretariado Ejecutivo del </w:t>
      </w:r>
      <w:proofErr w:type="gramStart"/>
      <w:r w:rsidRPr="003D090B">
        <w:rPr>
          <w:rFonts w:ascii="Monsserrat" w:hAnsi="Monsserrat"/>
          <w:color w:val="000000"/>
          <w:sz w:val="25"/>
          <w:szCs w:val="25"/>
        </w:rPr>
        <w:t>Sistema  Estatal</w:t>
      </w:r>
      <w:proofErr w:type="gramEnd"/>
      <w:r w:rsidRPr="003D090B">
        <w:rPr>
          <w:rFonts w:ascii="Monsserrat" w:hAnsi="Monsserrat"/>
          <w:color w:val="000000"/>
          <w:sz w:val="25"/>
          <w:szCs w:val="25"/>
        </w:rPr>
        <w:t xml:space="preserve"> de Seguridad Pública</w:t>
      </w:r>
    </w:p>
    <w:p w14:paraId="22F91327"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Economía</w:t>
      </w:r>
    </w:p>
    <w:p w14:paraId="48608B25"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Secretaría de Turismo</w:t>
      </w:r>
    </w:p>
    <w:p w14:paraId="3AC6EB53"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Secretaría de las </w:t>
      </w:r>
      <w:proofErr w:type="gramStart"/>
      <w:r w:rsidRPr="003D090B">
        <w:rPr>
          <w:rFonts w:ascii="Monsserrat" w:hAnsi="Monsserrat"/>
          <w:color w:val="000000"/>
          <w:sz w:val="25"/>
          <w:szCs w:val="25"/>
        </w:rPr>
        <w:t>Mujeres  de</w:t>
      </w:r>
      <w:proofErr w:type="gramEnd"/>
      <w:r w:rsidRPr="003D090B">
        <w:rPr>
          <w:rFonts w:ascii="Monsserrat" w:hAnsi="Monsserrat"/>
          <w:color w:val="000000"/>
          <w:sz w:val="25"/>
          <w:szCs w:val="25"/>
        </w:rPr>
        <w:t xml:space="preserve"> Oaxaca</w:t>
      </w:r>
    </w:p>
    <w:p w14:paraId="7C3EA3AB" w14:textId="77777777" w:rsidR="00FD3EAB" w:rsidRPr="003D090B" w:rsidRDefault="00FD3EAB" w:rsidP="00FD3EAB">
      <w:pPr>
        <w:numPr>
          <w:ilvl w:val="0"/>
          <w:numId w:val="17"/>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 xml:space="preserve">Secretaría del Medio </w:t>
      </w:r>
      <w:proofErr w:type="gramStart"/>
      <w:r w:rsidRPr="003D090B">
        <w:rPr>
          <w:rFonts w:ascii="Monsserrat" w:hAnsi="Monsserrat"/>
          <w:color w:val="000000"/>
          <w:sz w:val="25"/>
          <w:szCs w:val="25"/>
        </w:rPr>
        <w:t>Ambiente,  Energías</w:t>
      </w:r>
      <w:proofErr w:type="gramEnd"/>
      <w:r w:rsidRPr="003D090B">
        <w:rPr>
          <w:rFonts w:ascii="Monsserrat" w:hAnsi="Monsserrat"/>
          <w:color w:val="000000"/>
          <w:sz w:val="25"/>
          <w:szCs w:val="25"/>
        </w:rPr>
        <w:t xml:space="preserve">  y Desarrollo Sustentable;</w:t>
      </w:r>
    </w:p>
    <w:p w14:paraId="0A19D322" w14:textId="77777777" w:rsidR="00FD3EAB" w:rsidRPr="003D090B" w:rsidRDefault="00FD3EAB" w:rsidP="00FD3EAB">
      <w:pPr>
        <w:rPr>
          <w:rFonts w:ascii="Monsserrat" w:hAnsi="Monsserrat"/>
          <w:sz w:val="16"/>
          <w:szCs w:val="16"/>
        </w:rPr>
      </w:pPr>
    </w:p>
    <w:p w14:paraId="1BC56425" w14:textId="77777777" w:rsidR="00FD3EAB" w:rsidRPr="003D090B" w:rsidRDefault="00FD3EAB" w:rsidP="00FD3EAB">
      <w:pPr>
        <w:rPr>
          <w:rFonts w:ascii="Monsserrat" w:hAnsi="Monsserrat"/>
          <w:b/>
          <w:sz w:val="25"/>
          <w:szCs w:val="25"/>
        </w:rPr>
      </w:pPr>
      <w:r w:rsidRPr="003D090B">
        <w:rPr>
          <w:rFonts w:ascii="Monsserrat" w:hAnsi="Monsserrat"/>
          <w:b/>
          <w:sz w:val="25"/>
          <w:szCs w:val="25"/>
        </w:rPr>
        <w:t>Administración Pública Descentralizada</w:t>
      </w:r>
    </w:p>
    <w:p w14:paraId="7E9F9A08" w14:textId="77777777" w:rsidR="00FD3EAB" w:rsidRPr="003D090B" w:rsidRDefault="00FD3EAB" w:rsidP="00FD3EAB">
      <w:pPr>
        <w:jc w:val="both"/>
        <w:rPr>
          <w:rFonts w:ascii="Monsserrat" w:hAnsi="Monsserrat"/>
          <w:b/>
          <w:sz w:val="16"/>
          <w:szCs w:val="16"/>
        </w:rPr>
      </w:pPr>
    </w:p>
    <w:p w14:paraId="4BE526C2" w14:textId="77777777" w:rsidR="00FD3EAB" w:rsidRPr="003D090B" w:rsidRDefault="00FD3EAB" w:rsidP="00FD3EAB">
      <w:pPr>
        <w:spacing w:after="280"/>
        <w:jc w:val="both"/>
        <w:rPr>
          <w:rFonts w:ascii="Monsserrat" w:hAnsi="Monsserrat"/>
          <w:sz w:val="25"/>
          <w:szCs w:val="25"/>
        </w:rPr>
      </w:pPr>
      <w:r w:rsidRPr="003D090B">
        <w:rPr>
          <w:rFonts w:ascii="Monsserrat" w:hAnsi="Monsserrat"/>
          <w:sz w:val="25"/>
          <w:szCs w:val="25"/>
        </w:rPr>
        <w:t>Los Organismos Descentralizados son los institutos públicos creados mediante decreto del H. Congreso del Estado, con personalidad jurídica y patrimonio propio, cualquiera que sea la denominación, estructura y forma de organización que adopten, siempre que no sean sociedades, asociaciones o fideicomisos, y su objeto preponderante sea la prestación de un servicio público o social.</w:t>
      </w:r>
    </w:p>
    <w:p w14:paraId="310CB213" w14:textId="77777777"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5. Bases para la Preparación de los Estados Financieros</w:t>
      </w:r>
    </w:p>
    <w:p w14:paraId="4F185553"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 xml:space="preserve">La </w:t>
      </w:r>
      <w:proofErr w:type="gramStart"/>
      <w:r w:rsidRPr="003D090B">
        <w:rPr>
          <w:rFonts w:ascii="Monsserrat" w:hAnsi="Monsserrat"/>
          <w:sz w:val="25"/>
          <w:szCs w:val="25"/>
        </w:rPr>
        <w:t>Secretaria</w:t>
      </w:r>
      <w:proofErr w:type="gramEnd"/>
      <w:r w:rsidRPr="003D090B">
        <w:rPr>
          <w:rFonts w:ascii="Monsserrat" w:hAnsi="Monsserrat"/>
          <w:sz w:val="25"/>
          <w:szCs w:val="25"/>
        </w:rPr>
        <w:t xml:space="preserve"> de Finanzas consolida y prepara la información financiera con base en los Postulados Básicos de Contabilidad Gubernamental, Marco Conceptual de Contabilidad Gubernamental emitidos por el Consejo Nacional de Armonización Contable (CONAC), adoptados y difundidos por el Consejo de Armonización Contable para el Estado de Oaxaca, legislación Estatal y normatividad relacionada para el ejercicio del presupuesto.</w:t>
      </w:r>
    </w:p>
    <w:p w14:paraId="738E237F"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lastRenderedPageBreak/>
        <w:t>Los Estados de Situación Financiera y Actividades se presentan de manera acumulativa y con base en devengado.</w:t>
      </w:r>
    </w:p>
    <w:p w14:paraId="2EF4B0E1"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Los estados financieros y las presentes notas a los mismos fueron elaborados de conformidad con lo establecido en el Acuerdo por el que se reforma el Capítulo VII del Manual de Contabilidad Gubernamental, publicado en el Diario Oficial de la Federación de fecha 6 de octubre del 2015.</w:t>
      </w:r>
    </w:p>
    <w:p w14:paraId="7C327762"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 xml:space="preserve">Los documentos emitidos por el CONAC y difundidos por la </w:t>
      </w:r>
      <w:proofErr w:type="gramStart"/>
      <w:r w:rsidRPr="003D090B">
        <w:rPr>
          <w:rFonts w:ascii="Monsserrat" w:hAnsi="Monsserrat"/>
          <w:sz w:val="25"/>
          <w:szCs w:val="25"/>
        </w:rPr>
        <w:t>Secretaria</w:t>
      </w:r>
      <w:proofErr w:type="gramEnd"/>
      <w:r w:rsidRPr="003D090B">
        <w:rPr>
          <w:rFonts w:ascii="Monsserrat" w:hAnsi="Monsserrat"/>
          <w:sz w:val="25"/>
          <w:szCs w:val="25"/>
        </w:rPr>
        <w:t xml:space="preserve"> de Finanzas y que se encuentran implantados por parte de la propia secretaria son los siguientes:</w:t>
      </w:r>
    </w:p>
    <w:p w14:paraId="371AEE07" w14:textId="77777777" w:rsidR="00FD3EAB" w:rsidRPr="003D090B" w:rsidRDefault="00FD3EAB" w:rsidP="00FD3EAB">
      <w:pPr>
        <w:numPr>
          <w:ilvl w:val="0"/>
          <w:numId w:val="18"/>
        </w:numPr>
        <w:pBdr>
          <w:top w:val="nil"/>
          <w:left w:val="nil"/>
          <w:bottom w:val="nil"/>
          <w:right w:val="nil"/>
          <w:between w:val="nil"/>
        </w:pBdr>
        <w:spacing w:before="280" w:line="276" w:lineRule="auto"/>
        <w:jc w:val="both"/>
        <w:rPr>
          <w:rFonts w:ascii="Monsserrat" w:hAnsi="Monsserrat"/>
          <w:color w:val="000000"/>
          <w:sz w:val="25"/>
          <w:szCs w:val="25"/>
        </w:rPr>
      </w:pPr>
      <w:r w:rsidRPr="003D090B">
        <w:rPr>
          <w:rFonts w:ascii="Monsserrat" w:hAnsi="Monsserrat"/>
          <w:color w:val="000000"/>
          <w:sz w:val="25"/>
          <w:szCs w:val="25"/>
        </w:rPr>
        <w:t>Marco Conceptual de Contabilidad Gubernamental.</w:t>
      </w:r>
    </w:p>
    <w:p w14:paraId="1F2A4D19"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Postulados básicos de Contabilidad Gubernamental.</w:t>
      </w:r>
    </w:p>
    <w:p w14:paraId="34DC87A8"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Normas y Metodología para la determinación de los momentos contables de los Egresos.</w:t>
      </w:r>
    </w:p>
    <w:p w14:paraId="0B4D0E21"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Plan de Cuentas.</w:t>
      </w:r>
    </w:p>
    <w:p w14:paraId="2623B027"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Normas y Metodologías para la Determinación de los Momentos Contables de los Ingresos,</w:t>
      </w:r>
    </w:p>
    <w:p w14:paraId="4229896E"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sobre los indicadores para Medir los Avances Físicos y Financieros relacionados con los Recursos Públicos Federales.</w:t>
      </w:r>
    </w:p>
    <w:p w14:paraId="4E8A22D1"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Normas y Metodología para la Emisión de Información Financiera y Estructura de los Estados Financieros Básicos del Ente Público y Características de sus Notas.</w:t>
      </w:r>
    </w:p>
    <w:p w14:paraId="24668E4F"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Clasificador por Objeto del Gasto (Capítulo, Concepto y Partida Genérica).</w:t>
      </w:r>
    </w:p>
    <w:p w14:paraId="0D6E3323"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Clasificador por Tipo de Gasto.</w:t>
      </w:r>
    </w:p>
    <w:p w14:paraId="57AC6F4D"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Clasificación Funcional del Gasto.</w:t>
      </w:r>
    </w:p>
    <w:p w14:paraId="0D36AF8C"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Adecuaciones al Clasificador por Objeto de Gasto.</w:t>
      </w:r>
    </w:p>
    <w:p w14:paraId="05F947C8"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Manual de Contabilidad Gubernamental.</w:t>
      </w:r>
    </w:p>
    <w:p w14:paraId="474386CB"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Principales Reglas de Registro y Valoración del Patrimonio (Elementos Generales)</w:t>
      </w:r>
    </w:p>
    <w:p w14:paraId="0496EA00"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Clasificación Funcional del Gasto (Finalidad, Función y Subsunción)</w:t>
      </w:r>
    </w:p>
    <w:p w14:paraId="2C9BA3B8"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69E499A4"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Clasificación Administrativa.</w:t>
      </w:r>
    </w:p>
    <w:p w14:paraId="01E71394"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lastRenderedPageBreak/>
        <w:t>Clasificación Económica de los Ingresos, de los Gastos y del Financiamiento de los Entes Públicos.</w:t>
      </w:r>
    </w:p>
    <w:p w14:paraId="18E6D6EE"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Mínimos relativos al Diseño e Integración del Registro en los Libros Diario, Mayor e Inventarios y Balances (Registro Electrónico).</w:t>
      </w:r>
    </w:p>
    <w:p w14:paraId="6AD02AD9"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para la elaboración del Catálogo de Bienes que permita la interrelación automática con el Clasificador por Objeto del Gasto y la Lista de Cuentas.</w:t>
      </w:r>
    </w:p>
    <w:p w14:paraId="4F08B520"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dirigidos a asegurar que el Sistema de Contabilidad Gubernamental facilite el Registro y Control de los inventarios de los Bienes Muebles e Inmuebles de los Entes Públicos.</w:t>
      </w:r>
    </w:p>
    <w:p w14:paraId="1C1974DA"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Reglas Específicas del Registro y Valoración del Patrimonio.</w:t>
      </w:r>
    </w:p>
    <w:p w14:paraId="17A49C13"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para la elaboración del Catálogo de Bienes Inmuebles que permita la Interrelación Automática con el Clasificador por Objeto del Gasto y la Lista de Cuentas.</w:t>
      </w:r>
    </w:p>
    <w:p w14:paraId="21044651"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Parámetros de Estimación de Vida Útil.</w:t>
      </w:r>
    </w:p>
    <w:p w14:paraId="3C0A5ADB"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que deberán observar los entes públicos para registrar en las cuentas de activo los fideicomisos sin estructura orgánica y contratos análogos incluyendo mandatos.</w:t>
      </w:r>
    </w:p>
    <w:p w14:paraId="744C5DB2"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Clasificador por Fuentes de Financiamiento.</w:t>
      </w:r>
    </w:p>
    <w:p w14:paraId="30B36336"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Lineamientos para la construcción y diseño de indicadores de desempeño mediante la Metodología de Marco Lógico.</w:t>
      </w:r>
    </w:p>
    <w:p w14:paraId="6CF1D7AB"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Norma para establecer la estructura del formato de la relación de bienes que compone el patrimonio del ente público.</w:t>
      </w:r>
    </w:p>
    <w:p w14:paraId="14EBBF26" w14:textId="77777777" w:rsidR="00FD3EAB" w:rsidRPr="003D090B" w:rsidRDefault="00FD3EAB" w:rsidP="00FD3EAB">
      <w:pPr>
        <w:numPr>
          <w:ilvl w:val="0"/>
          <w:numId w:val="18"/>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Clasificación Programática.</w:t>
      </w:r>
    </w:p>
    <w:p w14:paraId="7B20DD15" w14:textId="77777777" w:rsidR="00AC0D24" w:rsidRPr="003D090B" w:rsidRDefault="00AC0D24" w:rsidP="00FD3EAB">
      <w:pPr>
        <w:spacing w:before="280" w:after="280"/>
        <w:jc w:val="both"/>
        <w:rPr>
          <w:rFonts w:ascii="Monsserrat" w:hAnsi="Monsserrat"/>
          <w:b/>
          <w:sz w:val="25"/>
          <w:szCs w:val="25"/>
        </w:rPr>
      </w:pPr>
    </w:p>
    <w:p w14:paraId="3310CA61" w14:textId="7E6EC8F8"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Postulados Básicos</w:t>
      </w:r>
    </w:p>
    <w:p w14:paraId="2630C035"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374A8A58"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lastRenderedPageBreak/>
        <w:t>A continuación, se describe el contenido principal de los Postulados Básicos de Contabilidad Gubernamental, los cuales deben ser aplicados por los entes públicos de forma tal, que la información que proporcionen sea oportuna, confiable y comparable para la toma de decisiones:</w:t>
      </w:r>
    </w:p>
    <w:p w14:paraId="41AA2AAF" w14:textId="77777777" w:rsidR="00FD3EAB" w:rsidRPr="003D090B" w:rsidRDefault="00FD3EAB" w:rsidP="00FD3EAB">
      <w:pPr>
        <w:spacing w:before="280"/>
        <w:jc w:val="both"/>
        <w:rPr>
          <w:rFonts w:ascii="Monsserrat" w:hAnsi="Monsserrat"/>
          <w:b/>
          <w:sz w:val="25"/>
          <w:szCs w:val="25"/>
        </w:rPr>
      </w:pPr>
      <w:r w:rsidRPr="003D090B">
        <w:rPr>
          <w:rFonts w:ascii="Monsserrat" w:hAnsi="Monsserrat"/>
          <w:b/>
          <w:sz w:val="25"/>
          <w:szCs w:val="25"/>
        </w:rPr>
        <w:t>I. Sustancia Económica</w:t>
      </w:r>
    </w:p>
    <w:p w14:paraId="383457D0"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Es el reconocimiento contable de las transacciones, transformaciones internas y otros eventos, que afectan económicamente al ente público y delimitan la operación del Sistema de Contabilidad Gubernamental (</w:t>
      </w:r>
      <w:proofErr w:type="spellStart"/>
      <w:r w:rsidRPr="003D090B">
        <w:rPr>
          <w:rFonts w:ascii="Monsserrat" w:hAnsi="Monsserrat"/>
          <w:sz w:val="25"/>
          <w:szCs w:val="25"/>
        </w:rPr>
        <w:t>SCG</w:t>
      </w:r>
      <w:proofErr w:type="spellEnd"/>
      <w:r w:rsidRPr="003D090B">
        <w:rPr>
          <w:rFonts w:ascii="Monsserrat" w:hAnsi="Monsserrat"/>
          <w:sz w:val="25"/>
          <w:szCs w:val="25"/>
        </w:rPr>
        <w:t>).</w:t>
      </w:r>
    </w:p>
    <w:p w14:paraId="4B19910A" w14:textId="77777777" w:rsidR="00FD3EAB" w:rsidRPr="003D090B" w:rsidRDefault="00FD3EAB" w:rsidP="00FD3EAB">
      <w:pPr>
        <w:jc w:val="both"/>
        <w:rPr>
          <w:rFonts w:ascii="Monsserrat" w:hAnsi="Monsserrat"/>
          <w:sz w:val="25"/>
          <w:szCs w:val="25"/>
        </w:rPr>
      </w:pPr>
    </w:p>
    <w:p w14:paraId="19D5BD29"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II. Entes Públicos</w:t>
      </w:r>
    </w:p>
    <w:p w14:paraId="37C69C0C"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595D3D24" w14:textId="77777777" w:rsidR="00FD3EAB" w:rsidRPr="003D090B" w:rsidRDefault="00FD3EAB" w:rsidP="00FD3EAB">
      <w:pPr>
        <w:jc w:val="both"/>
        <w:rPr>
          <w:rFonts w:ascii="Monsserrat" w:hAnsi="Monsserrat"/>
          <w:sz w:val="25"/>
          <w:szCs w:val="25"/>
        </w:rPr>
      </w:pPr>
    </w:p>
    <w:p w14:paraId="68FF848A"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III. Existencia Permanente</w:t>
      </w:r>
    </w:p>
    <w:p w14:paraId="2D8C82A4"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La actividad del ente público se establece por tiempo indefinido, salvo disposición legal en la que se especifique lo contrario.</w:t>
      </w:r>
    </w:p>
    <w:p w14:paraId="027CA59F" w14:textId="77777777" w:rsidR="00FD3EAB" w:rsidRPr="003D090B" w:rsidRDefault="00FD3EAB" w:rsidP="00FD3EAB">
      <w:pPr>
        <w:jc w:val="both"/>
        <w:rPr>
          <w:rFonts w:ascii="Monsserrat" w:hAnsi="Monsserrat"/>
          <w:sz w:val="25"/>
          <w:szCs w:val="25"/>
        </w:rPr>
      </w:pPr>
    </w:p>
    <w:p w14:paraId="02EA88A7"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IV. Revelación Suficiente</w:t>
      </w:r>
    </w:p>
    <w:p w14:paraId="7A891182"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Los estados y la información financiera deben mostrar amplia y claramente la situación financiera y los resultados del ente público.</w:t>
      </w:r>
    </w:p>
    <w:p w14:paraId="7771AAD2" w14:textId="77777777" w:rsidR="00FD3EAB" w:rsidRPr="003D090B" w:rsidRDefault="00FD3EAB" w:rsidP="00FD3EAB">
      <w:pPr>
        <w:jc w:val="both"/>
        <w:rPr>
          <w:rFonts w:ascii="Monsserrat" w:hAnsi="Monsserrat"/>
          <w:sz w:val="25"/>
          <w:szCs w:val="25"/>
        </w:rPr>
      </w:pPr>
    </w:p>
    <w:p w14:paraId="5EB32390"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V. Importancia Relativa</w:t>
      </w:r>
    </w:p>
    <w:p w14:paraId="19682D19"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La información debe mostrar los aspectos importantes de la entidad, que fueron reconocidos contablemente.</w:t>
      </w:r>
    </w:p>
    <w:p w14:paraId="4C96CD21" w14:textId="77777777" w:rsidR="00FD3EAB" w:rsidRPr="003D090B" w:rsidRDefault="00FD3EAB" w:rsidP="00FD3EAB">
      <w:pPr>
        <w:jc w:val="both"/>
        <w:rPr>
          <w:rFonts w:ascii="Monsserrat" w:hAnsi="Monsserrat"/>
          <w:sz w:val="25"/>
          <w:szCs w:val="25"/>
        </w:rPr>
      </w:pPr>
    </w:p>
    <w:p w14:paraId="50485BE8"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VI. Registro e Integración Presupuestaria</w:t>
      </w:r>
    </w:p>
    <w:p w14:paraId="02FAA2DC"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La información presupuestaria de los entes públicos se integra en la contabilidad en los mismos términos que se presentan en la Ley de Ingresos y en el Decreto del Presupuesto de Egresos, </w:t>
      </w:r>
      <w:proofErr w:type="gramStart"/>
      <w:r w:rsidRPr="003D090B">
        <w:rPr>
          <w:rFonts w:ascii="Monsserrat" w:hAnsi="Monsserrat"/>
          <w:sz w:val="25"/>
          <w:szCs w:val="25"/>
        </w:rPr>
        <w:t>de acuerdo a</w:t>
      </w:r>
      <w:proofErr w:type="gramEnd"/>
      <w:r w:rsidRPr="003D090B">
        <w:rPr>
          <w:rFonts w:ascii="Monsserrat" w:hAnsi="Monsserrat"/>
          <w:sz w:val="25"/>
          <w:szCs w:val="25"/>
        </w:rPr>
        <w:t xml:space="preserve"> la naturaleza económica que le corresponda.</w:t>
      </w:r>
    </w:p>
    <w:p w14:paraId="644681A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registro presupuestario del ingreso y del egreso en los entes públicos se debe reflejar en la contabilidad, considerando sus efectos patrimoniales y su vinculación con las etapas presupuestarias correspondientes.</w:t>
      </w:r>
    </w:p>
    <w:p w14:paraId="7FE8B231" w14:textId="77777777" w:rsidR="00FD3EAB" w:rsidRPr="003D090B" w:rsidRDefault="00FD3EAB" w:rsidP="00FD3EAB">
      <w:pPr>
        <w:jc w:val="both"/>
        <w:rPr>
          <w:rFonts w:ascii="Monsserrat" w:hAnsi="Monsserrat"/>
          <w:sz w:val="25"/>
          <w:szCs w:val="25"/>
        </w:rPr>
      </w:pPr>
    </w:p>
    <w:p w14:paraId="1D09006F"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VII. Consolidación de la Información Financiera</w:t>
      </w:r>
    </w:p>
    <w:p w14:paraId="7D6254E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Los estados financieros de los entes públicos deberán presentar de manera consolidada la situación financiera, los resultados de operación, el flujo de efectivo o </w:t>
      </w:r>
      <w:r w:rsidRPr="003D090B">
        <w:rPr>
          <w:rFonts w:ascii="Monsserrat" w:hAnsi="Monsserrat"/>
          <w:sz w:val="25"/>
          <w:szCs w:val="25"/>
        </w:rPr>
        <w:lastRenderedPageBreak/>
        <w:t>los cambios en la situación financiera y las variaciones a la Hacienda Pública, como si se tratara de un solo ente público.</w:t>
      </w:r>
    </w:p>
    <w:p w14:paraId="405FECB2" w14:textId="77777777" w:rsidR="00FD3EAB" w:rsidRPr="003D090B" w:rsidRDefault="00FD3EAB" w:rsidP="00FD3EAB">
      <w:pPr>
        <w:jc w:val="both"/>
        <w:rPr>
          <w:rFonts w:ascii="Monsserrat" w:hAnsi="Monsserrat"/>
          <w:sz w:val="25"/>
          <w:szCs w:val="25"/>
        </w:rPr>
      </w:pPr>
    </w:p>
    <w:p w14:paraId="3B084D4B"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VIII. Devengo Contable</w:t>
      </w:r>
    </w:p>
    <w:p w14:paraId="488A0DE9"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w:t>
      </w:r>
    </w:p>
    <w:p w14:paraId="73449169" w14:textId="77777777" w:rsidR="00FD3EAB" w:rsidRPr="003D090B" w:rsidRDefault="00FD3EAB" w:rsidP="00FD3EAB">
      <w:pPr>
        <w:jc w:val="both"/>
        <w:rPr>
          <w:rFonts w:ascii="Monsserrat" w:hAnsi="Monsserrat"/>
          <w:sz w:val="25"/>
          <w:szCs w:val="25"/>
        </w:rPr>
      </w:pPr>
    </w:p>
    <w:p w14:paraId="288B6D52"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07EDA627" w14:textId="77777777" w:rsidR="00FD3EAB" w:rsidRPr="003D090B" w:rsidRDefault="00FD3EAB" w:rsidP="00FD3EAB">
      <w:pPr>
        <w:jc w:val="both"/>
        <w:rPr>
          <w:rFonts w:ascii="Monsserrat" w:hAnsi="Monsserrat"/>
          <w:sz w:val="25"/>
          <w:szCs w:val="25"/>
        </w:rPr>
      </w:pPr>
    </w:p>
    <w:p w14:paraId="430BE4F5"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d) En forma supletoria a las Normas de la Ley General de Contabilidad Gubernamental y las emitidas por la CONAC aplicará las siguientes:</w:t>
      </w:r>
    </w:p>
    <w:p w14:paraId="3A5B6D16" w14:textId="77777777" w:rsidR="00FD3EAB" w:rsidRPr="003D090B" w:rsidRDefault="00FD3EAB" w:rsidP="00FD3EAB">
      <w:pPr>
        <w:spacing w:after="280"/>
        <w:jc w:val="both"/>
        <w:rPr>
          <w:rFonts w:ascii="Monsserrat" w:hAnsi="Monsserrat"/>
          <w:sz w:val="25"/>
          <w:szCs w:val="25"/>
        </w:rPr>
      </w:pPr>
    </w:p>
    <w:p w14:paraId="6074B5EA" w14:textId="77777777" w:rsidR="00FD3EAB" w:rsidRPr="003D090B" w:rsidRDefault="00FD3EAB" w:rsidP="00FD3EAB">
      <w:pPr>
        <w:numPr>
          <w:ilvl w:val="0"/>
          <w:numId w:val="23"/>
        </w:numPr>
        <w:pBdr>
          <w:top w:val="nil"/>
          <w:left w:val="nil"/>
          <w:bottom w:val="nil"/>
          <w:right w:val="nil"/>
          <w:between w:val="nil"/>
        </w:pBdr>
        <w:spacing w:before="280" w:line="276" w:lineRule="auto"/>
        <w:jc w:val="both"/>
        <w:rPr>
          <w:rFonts w:ascii="Monsserrat" w:hAnsi="Monsserrat"/>
          <w:color w:val="000000"/>
          <w:sz w:val="25"/>
          <w:szCs w:val="25"/>
        </w:rPr>
      </w:pPr>
      <w:r w:rsidRPr="003D090B">
        <w:rPr>
          <w:rFonts w:ascii="Monsserrat" w:hAnsi="Monsserrat"/>
          <w:color w:val="000000"/>
          <w:sz w:val="25"/>
          <w:szCs w:val="25"/>
        </w:rPr>
        <w:t>Normatividad emitida por las unidades administrativas o instancias competentes en materia de Contabilidad Gubernamental.</w:t>
      </w:r>
    </w:p>
    <w:p w14:paraId="7873B270" w14:textId="77777777" w:rsidR="00FD3EAB" w:rsidRPr="003D090B" w:rsidRDefault="00FD3EAB" w:rsidP="00FD3EAB">
      <w:pPr>
        <w:numPr>
          <w:ilvl w:val="0"/>
          <w:numId w:val="23"/>
        </w:numPr>
        <w:pBdr>
          <w:top w:val="nil"/>
          <w:left w:val="nil"/>
          <w:bottom w:val="nil"/>
          <w:right w:val="nil"/>
          <w:between w:val="nil"/>
        </w:pBdr>
        <w:spacing w:line="276" w:lineRule="auto"/>
        <w:jc w:val="both"/>
        <w:rPr>
          <w:rFonts w:ascii="Monsserrat" w:hAnsi="Monsserrat"/>
          <w:color w:val="000000"/>
          <w:sz w:val="25"/>
          <w:szCs w:val="25"/>
        </w:rPr>
      </w:pPr>
      <w:r w:rsidRPr="003D090B">
        <w:rPr>
          <w:rFonts w:ascii="Monsserrat" w:hAnsi="Monsserrat"/>
          <w:color w:val="000000"/>
          <w:sz w:val="25"/>
          <w:szCs w:val="25"/>
        </w:rPr>
        <w:t>Las Normas Internacionales de Contabilidad para el sector público (</w:t>
      </w:r>
      <w:proofErr w:type="spellStart"/>
      <w:r w:rsidRPr="003D090B">
        <w:rPr>
          <w:rFonts w:ascii="Monsserrat" w:hAnsi="Monsserrat"/>
          <w:color w:val="000000"/>
          <w:sz w:val="25"/>
          <w:szCs w:val="25"/>
        </w:rPr>
        <w:t>NICSP</w:t>
      </w:r>
      <w:proofErr w:type="spellEnd"/>
      <w:r w:rsidRPr="003D090B">
        <w:rPr>
          <w:rFonts w:ascii="Monsserrat" w:hAnsi="Monsserrat"/>
          <w:color w:val="000000"/>
          <w:sz w:val="25"/>
          <w:szCs w:val="25"/>
        </w:rPr>
        <w:t>) emitidas por la junta de Normas Internacionales de Contabilidad del Sector Público.</w:t>
      </w:r>
    </w:p>
    <w:p w14:paraId="09916A20" w14:textId="77777777" w:rsidR="00FD3EAB" w:rsidRPr="003D090B" w:rsidRDefault="00FD3EAB" w:rsidP="00FD3EAB">
      <w:pPr>
        <w:numPr>
          <w:ilvl w:val="0"/>
          <w:numId w:val="23"/>
        </w:numPr>
        <w:pBdr>
          <w:top w:val="nil"/>
          <w:left w:val="nil"/>
          <w:bottom w:val="nil"/>
          <w:right w:val="nil"/>
          <w:between w:val="nil"/>
        </w:pBdr>
        <w:spacing w:after="280" w:line="276" w:lineRule="auto"/>
        <w:jc w:val="both"/>
        <w:rPr>
          <w:rFonts w:ascii="Monsserrat" w:hAnsi="Monsserrat"/>
          <w:color w:val="000000"/>
          <w:sz w:val="25"/>
          <w:szCs w:val="25"/>
        </w:rPr>
      </w:pPr>
      <w:r w:rsidRPr="003D090B">
        <w:rPr>
          <w:rFonts w:ascii="Monsserrat" w:hAnsi="Monsserrat"/>
          <w:color w:val="000000"/>
          <w:sz w:val="25"/>
          <w:szCs w:val="25"/>
        </w:rPr>
        <w:t>Las Normas de información financiera del Consejo Mexicano para la investigación y Desarrollo de Normas de Información Financiera A.C. (</w:t>
      </w:r>
      <w:proofErr w:type="spellStart"/>
      <w:r w:rsidRPr="003D090B">
        <w:rPr>
          <w:rFonts w:ascii="Monsserrat" w:hAnsi="Monsserrat"/>
          <w:color w:val="000000"/>
          <w:sz w:val="25"/>
          <w:szCs w:val="25"/>
        </w:rPr>
        <w:t>CINIF</w:t>
      </w:r>
      <w:proofErr w:type="spellEnd"/>
      <w:r w:rsidRPr="003D090B">
        <w:rPr>
          <w:rFonts w:ascii="Monsserrat" w:hAnsi="Monsserrat"/>
          <w:color w:val="000000"/>
          <w:sz w:val="25"/>
          <w:szCs w:val="25"/>
        </w:rPr>
        <w:t>). Políticas de Contabilidad Significativas.</w:t>
      </w:r>
    </w:p>
    <w:p w14:paraId="00CD706D"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El presente estado de posición financiera consolidado al 30 de junio de 2022, el estado de actividades, el estado de variaciones en la hacienda pública y el estado de flujo de efectivo, correspondientes al </w:t>
      </w:r>
      <w:proofErr w:type="gramStart"/>
      <w:r w:rsidRPr="003D090B">
        <w:rPr>
          <w:rFonts w:ascii="Monsserrat" w:hAnsi="Monsserrat"/>
          <w:sz w:val="25"/>
          <w:szCs w:val="25"/>
        </w:rPr>
        <w:t>periodo  del</w:t>
      </w:r>
      <w:proofErr w:type="gramEnd"/>
      <w:r w:rsidRPr="003D090B">
        <w:rPr>
          <w:rFonts w:ascii="Monsserrat" w:hAnsi="Monsserrat"/>
          <w:sz w:val="25"/>
          <w:szCs w:val="25"/>
        </w:rPr>
        <w:t xml:space="preserve"> 01 de enero al 30 de junio de 2022, fueron preparados y emitidos por dicho periodo, con la finalidad de dar cumplimiento a la disposición legal contenida en el artículo 81 de la Ley Estatal de Presupuesto y Responsabilidad Hacendaria.</w:t>
      </w:r>
    </w:p>
    <w:p w14:paraId="645EC61C" w14:textId="77777777" w:rsidR="00FD3EAB" w:rsidRPr="003D090B" w:rsidRDefault="00FD3EAB" w:rsidP="00FD3EAB">
      <w:pPr>
        <w:jc w:val="both"/>
        <w:rPr>
          <w:rFonts w:ascii="Monsserrat" w:hAnsi="Monsserrat"/>
          <w:sz w:val="25"/>
          <w:szCs w:val="25"/>
        </w:rPr>
      </w:pPr>
    </w:p>
    <w:p w14:paraId="22E30913"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6. Políticas de Contabilidad Significativas</w:t>
      </w:r>
    </w:p>
    <w:p w14:paraId="7ADFE83A" w14:textId="77777777" w:rsidR="00FD3EAB" w:rsidRPr="003D090B" w:rsidRDefault="00FD3EAB" w:rsidP="00FD3EAB">
      <w:pPr>
        <w:jc w:val="both"/>
        <w:rPr>
          <w:rFonts w:ascii="Monsserrat" w:hAnsi="Monsserrat"/>
          <w:sz w:val="25"/>
          <w:szCs w:val="25"/>
        </w:rPr>
      </w:pPr>
    </w:p>
    <w:p w14:paraId="7ADD0076"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a) Actualización</w:t>
      </w:r>
    </w:p>
    <w:p w14:paraId="0B67B7C4"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Conforme a los lineamientos de la NIF B-10 “Efectos de la Inflación”, la economía mexicana se encuentra en un entorno no inflacionario, al mantener una inflación </w:t>
      </w:r>
      <w:r w:rsidRPr="003D090B">
        <w:rPr>
          <w:rFonts w:ascii="Monsserrat" w:hAnsi="Monsserrat"/>
          <w:sz w:val="25"/>
          <w:szCs w:val="25"/>
        </w:rPr>
        <w:lastRenderedPageBreak/>
        <w:t>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30 de junio de 2022 de los estados financieros adjuntos, se presentan en pesos históricos.</w:t>
      </w:r>
    </w:p>
    <w:p w14:paraId="25018849" w14:textId="77777777" w:rsidR="00FD3EAB" w:rsidRPr="003D090B" w:rsidRDefault="00FD3EAB" w:rsidP="00FD3EAB">
      <w:pPr>
        <w:jc w:val="both"/>
        <w:rPr>
          <w:rFonts w:ascii="Monsserrat" w:hAnsi="Monsserrat"/>
          <w:sz w:val="25"/>
          <w:szCs w:val="25"/>
        </w:rPr>
      </w:pPr>
    </w:p>
    <w:p w14:paraId="46D62732"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b) Operaciones en el Extranjero</w:t>
      </w:r>
    </w:p>
    <w:p w14:paraId="20AA785E"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Gobierno del Estado de Oaxaca al 30 de junio de 2022 no cuenta con activos o recursos financieros en moneda extranjera.</w:t>
      </w:r>
    </w:p>
    <w:p w14:paraId="46D86166" w14:textId="77777777" w:rsidR="00FD3EAB" w:rsidRPr="003D090B" w:rsidRDefault="00FD3EAB" w:rsidP="00FD3EAB">
      <w:pPr>
        <w:jc w:val="both"/>
        <w:rPr>
          <w:rFonts w:ascii="Monsserrat" w:hAnsi="Monsserrat"/>
          <w:sz w:val="25"/>
          <w:szCs w:val="25"/>
        </w:rPr>
      </w:pPr>
    </w:p>
    <w:p w14:paraId="761D692F"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 xml:space="preserve">c) Costo de Ventas </w:t>
      </w:r>
    </w:p>
    <w:p w14:paraId="615915D3"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Ningún ente público dependiente del Gobierno del Estado de Oaxaca, realiza operaciones mercantiles en el cual se tenga que establecer el Costo de lo Vendido y en consecuencia la valuación de los inventarios.</w:t>
      </w:r>
    </w:p>
    <w:p w14:paraId="31A73345" w14:textId="77777777" w:rsidR="00FD3EAB" w:rsidRPr="003D090B" w:rsidRDefault="00FD3EAB" w:rsidP="00FD3EAB">
      <w:pPr>
        <w:jc w:val="both"/>
        <w:rPr>
          <w:rFonts w:ascii="Monsserrat" w:hAnsi="Monsserrat"/>
          <w:sz w:val="25"/>
          <w:szCs w:val="25"/>
        </w:rPr>
      </w:pPr>
    </w:p>
    <w:p w14:paraId="76669BF4" w14:textId="77777777" w:rsidR="00FD3EAB" w:rsidRPr="003D090B" w:rsidRDefault="00FD3EAB" w:rsidP="00FD3EAB">
      <w:pPr>
        <w:jc w:val="both"/>
        <w:rPr>
          <w:rFonts w:ascii="Monsserrat" w:hAnsi="Monsserrat"/>
          <w:sz w:val="25"/>
          <w:szCs w:val="25"/>
        </w:rPr>
      </w:pPr>
      <w:r w:rsidRPr="003D090B">
        <w:rPr>
          <w:rFonts w:ascii="Monsserrat" w:hAnsi="Monsserrat"/>
          <w:b/>
          <w:sz w:val="25"/>
          <w:szCs w:val="25"/>
        </w:rPr>
        <w:t>d) Patrimonio</w:t>
      </w:r>
    </w:p>
    <w:p w14:paraId="5979E131"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De conformidad con la Ley General de Contabilidad Gubernamental y los lineamientos emitidos por el Consejo Nacional de Armonización Contable en las reglas de registro y valoración del patrimonio en el punto III en las definiciones del activo, pasivo, hacienda pública/patrimonio, las aportaciones, las donaciones de capital, los ahorros / desahorros acumulados se expresan a su costo histórico.</w:t>
      </w:r>
    </w:p>
    <w:p w14:paraId="33C0F0E4" w14:textId="77777777" w:rsidR="00FD3EAB" w:rsidRPr="003D090B" w:rsidRDefault="00FD3EAB" w:rsidP="00FD3EAB">
      <w:pPr>
        <w:jc w:val="both"/>
        <w:rPr>
          <w:rFonts w:ascii="Monsserrat" w:hAnsi="Monsserrat"/>
          <w:sz w:val="25"/>
          <w:szCs w:val="25"/>
        </w:rPr>
      </w:pPr>
    </w:p>
    <w:p w14:paraId="0BE61760"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e) Beneficios a Empleados</w:t>
      </w:r>
    </w:p>
    <w:p w14:paraId="151B685D"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Los pagos basados en antigüedad a que puedan tener derecho los empleados en caso de retiro voluntario, separación o muerte </w:t>
      </w:r>
      <w:proofErr w:type="gramStart"/>
      <w:r w:rsidRPr="003D090B">
        <w:rPr>
          <w:rFonts w:ascii="Monsserrat" w:hAnsi="Monsserrat"/>
          <w:sz w:val="25"/>
          <w:szCs w:val="25"/>
        </w:rPr>
        <w:t>de acuerdo a</w:t>
      </w:r>
      <w:proofErr w:type="gramEnd"/>
      <w:r w:rsidRPr="003D090B">
        <w:rPr>
          <w:rFonts w:ascii="Monsserrat" w:hAnsi="Monsserrat"/>
          <w:sz w:val="25"/>
          <w:szCs w:val="25"/>
        </w:rPr>
        <w:t xml:space="preserve"> las condiciones generales de trabajo se registran como egresos en el año que se vuelven exigibles y se pagan.</w:t>
      </w:r>
    </w:p>
    <w:p w14:paraId="577F6AE3" w14:textId="77777777" w:rsidR="00FD3EAB" w:rsidRPr="003D090B" w:rsidRDefault="00FD3EAB" w:rsidP="00FD3EAB">
      <w:pPr>
        <w:jc w:val="both"/>
        <w:rPr>
          <w:rFonts w:ascii="Monsserrat" w:hAnsi="Monsserrat"/>
          <w:sz w:val="25"/>
          <w:szCs w:val="25"/>
        </w:rPr>
      </w:pPr>
    </w:p>
    <w:p w14:paraId="4E345BA8"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Por Ley las obligaciones por jubilaciones están a cargo de un organismo descentralizado denominado Oficina de Pensiones del Estado de Oaxaca.</w:t>
      </w:r>
    </w:p>
    <w:p w14:paraId="49AD2A07" w14:textId="77777777" w:rsidR="00FD3EAB" w:rsidRPr="003D090B" w:rsidRDefault="00FD3EAB" w:rsidP="00FD3EAB">
      <w:pPr>
        <w:jc w:val="both"/>
        <w:rPr>
          <w:rFonts w:ascii="Monsserrat" w:hAnsi="Monsserrat"/>
          <w:sz w:val="25"/>
          <w:szCs w:val="25"/>
        </w:rPr>
      </w:pPr>
    </w:p>
    <w:p w14:paraId="282E36C0" w14:textId="77777777" w:rsidR="00AC0D24" w:rsidRPr="003D090B" w:rsidRDefault="00AC0D24" w:rsidP="00FD3EAB">
      <w:pPr>
        <w:jc w:val="both"/>
        <w:rPr>
          <w:rFonts w:ascii="Monsserrat" w:hAnsi="Monsserrat"/>
          <w:b/>
          <w:sz w:val="25"/>
          <w:szCs w:val="25"/>
        </w:rPr>
      </w:pPr>
    </w:p>
    <w:p w14:paraId="13321AE6" w14:textId="0FF71E0C" w:rsidR="00FD3EAB" w:rsidRPr="003D090B" w:rsidRDefault="00FD3EAB" w:rsidP="00FD3EAB">
      <w:pPr>
        <w:jc w:val="both"/>
        <w:rPr>
          <w:rFonts w:ascii="Monsserrat" w:hAnsi="Monsserrat"/>
          <w:b/>
          <w:sz w:val="25"/>
          <w:szCs w:val="25"/>
        </w:rPr>
      </w:pPr>
      <w:r w:rsidRPr="003D090B">
        <w:rPr>
          <w:rFonts w:ascii="Monsserrat" w:hAnsi="Monsserrat"/>
          <w:b/>
          <w:sz w:val="25"/>
          <w:szCs w:val="25"/>
        </w:rPr>
        <w:t>f) Provisiones</w:t>
      </w:r>
    </w:p>
    <w:p w14:paraId="164871FA" w14:textId="77777777" w:rsidR="00AC0D24" w:rsidRPr="003D090B" w:rsidRDefault="00AC0D24" w:rsidP="00FD3EAB">
      <w:pPr>
        <w:jc w:val="both"/>
        <w:rPr>
          <w:rFonts w:ascii="Monsserrat" w:hAnsi="Monsserrat"/>
          <w:b/>
          <w:sz w:val="25"/>
          <w:szCs w:val="25"/>
        </w:rPr>
      </w:pPr>
    </w:p>
    <w:p w14:paraId="043EA08E"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No se tienen identificados conceptos o hechos de los cuales sea necesario el registro de provisiones adicionales a las registradas.</w:t>
      </w:r>
    </w:p>
    <w:p w14:paraId="71A2277F" w14:textId="77777777" w:rsidR="00FD3EAB" w:rsidRPr="003D090B" w:rsidRDefault="00FD3EAB" w:rsidP="00FD3EAB">
      <w:pPr>
        <w:jc w:val="both"/>
        <w:rPr>
          <w:rFonts w:ascii="Monsserrat" w:hAnsi="Monsserrat"/>
          <w:sz w:val="25"/>
          <w:szCs w:val="25"/>
        </w:rPr>
      </w:pPr>
    </w:p>
    <w:p w14:paraId="74D23103"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g) Cambio en Políticas Contables</w:t>
      </w:r>
    </w:p>
    <w:p w14:paraId="3EAF4649"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No existieron cambios en políticas contables que generaran un efecto relevante en la información financiera.</w:t>
      </w:r>
    </w:p>
    <w:p w14:paraId="652844A5" w14:textId="0A5BF301" w:rsidR="00FD3EAB" w:rsidRPr="003D090B" w:rsidRDefault="00FD3EAB" w:rsidP="00FD3EAB">
      <w:pPr>
        <w:jc w:val="both"/>
        <w:rPr>
          <w:rFonts w:ascii="Monsserrat" w:hAnsi="Monsserrat"/>
          <w:sz w:val="25"/>
          <w:szCs w:val="25"/>
        </w:rPr>
      </w:pPr>
    </w:p>
    <w:p w14:paraId="04861468" w14:textId="77777777" w:rsidR="00C56C61" w:rsidRPr="003D090B" w:rsidRDefault="00C56C61" w:rsidP="00FD3EAB">
      <w:pPr>
        <w:jc w:val="both"/>
        <w:rPr>
          <w:rFonts w:ascii="Monsserrat" w:hAnsi="Monsserrat"/>
          <w:sz w:val="25"/>
          <w:szCs w:val="25"/>
        </w:rPr>
      </w:pPr>
    </w:p>
    <w:p w14:paraId="54DE5DE2"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7. Posición en Moneda Extranjera y Protección por Riesgo Cambiario.</w:t>
      </w:r>
    </w:p>
    <w:p w14:paraId="71C48F2D" w14:textId="77777777" w:rsidR="00FD3EAB" w:rsidRPr="003D090B" w:rsidRDefault="00FD3EAB" w:rsidP="00FD3EAB">
      <w:pPr>
        <w:jc w:val="both"/>
        <w:rPr>
          <w:rFonts w:ascii="Monsserrat" w:hAnsi="Monsserrat"/>
          <w:b/>
          <w:sz w:val="25"/>
          <w:szCs w:val="25"/>
        </w:rPr>
      </w:pPr>
    </w:p>
    <w:p w14:paraId="1CB596A7"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El Gobierno del Estado de Oaxaca al 30 de junio de 2022 no cuenta con activos o recursos financieros en moneda extranjera y como consecuencia no se cuenta con protección por riesgo cambiario.</w:t>
      </w:r>
    </w:p>
    <w:p w14:paraId="7D614E52" w14:textId="77777777" w:rsidR="00FD3EAB" w:rsidRPr="003D090B" w:rsidRDefault="00FD3EAB" w:rsidP="00FD3EAB">
      <w:pPr>
        <w:jc w:val="both"/>
        <w:rPr>
          <w:rFonts w:ascii="Monsserrat" w:hAnsi="Monsserrat"/>
          <w:sz w:val="25"/>
          <w:szCs w:val="25"/>
        </w:rPr>
      </w:pPr>
    </w:p>
    <w:p w14:paraId="19068ED6"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8. Reporte Analítico del Activo.</w:t>
      </w:r>
    </w:p>
    <w:p w14:paraId="2BA262B6" w14:textId="77777777" w:rsidR="00FD3EAB" w:rsidRPr="003D090B" w:rsidRDefault="00FD3EAB" w:rsidP="00FD3EAB">
      <w:pPr>
        <w:jc w:val="both"/>
        <w:rPr>
          <w:rFonts w:ascii="Monsserrat" w:hAnsi="Monsserrat"/>
          <w:b/>
          <w:sz w:val="25"/>
          <w:szCs w:val="25"/>
        </w:rPr>
      </w:pPr>
    </w:p>
    <w:p w14:paraId="0FB1B816" w14:textId="77777777" w:rsidR="00FD3EAB" w:rsidRPr="003D090B" w:rsidRDefault="00FD3EAB" w:rsidP="00FD3EAB">
      <w:pPr>
        <w:jc w:val="both"/>
        <w:rPr>
          <w:rFonts w:ascii="Monsserrat" w:hAnsi="Monsserrat"/>
          <w:sz w:val="25"/>
          <w:szCs w:val="25"/>
        </w:rPr>
      </w:pPr>
      <w:r w:rsidRPr="003D090B">
        <w:rPr>
          <w:rFonts w:ascii="Monsserrat" w:hAnsi="Monsserrat"/>
          <w:sz w:val="25"/>
          <w:szCs w:val="25"/>
        </w:rPr>
        <w:t xml:space="preserve">De conformidad a las reglas de registro emitidas por el CONAC publicados en el Diario Oficial de la Federación de fecha 15 de agosto del 2012 la </w:t>
      </w:r>
      <w:proofErr w:type="gramStart"/>
      <w:r w:rsidRPr="003D090B">
        <w:rPr>
          <w:rFonts w:ascii="Monsserrat" w:hAnsi="Monsserrat"/>
          <w:sz w:val="25"/>
          <w:szCs w:val="25"/>
        </w:rPr>
        <w:t>Secretaria</w:t>
      </w:r>
      <w:proofErr w:type="gramEnd"/>
      <w:r w:rsidRPr="003D090B">
        <w:rPr>
          <w:rFonts w:ascii="Monsserrat" w:hAnsi="Monsserrat"/>
          <w:sz w:val="25"/>
          <w:szCs w:val="25"/>
        </w:rPr>
        <w:t xml:space="preserve"> de Finanzas adopto dicha regla a la vida útil Estimada de los activos salvo a aquellos que por razones de uso la vida del activo sea menor, dicha vida útil estimada es de acuerdo a lo siguiente:</w:t>
      </w:r>
    </w:p>
    <w:p w14:paraId="2FEFE0E9" w14:textId="77777777" w:rsidR="00FD3EAB" w:rsidRPr="003D090B" w:rsidRDefault="00FD3EAB" w:rsidP="00FD3EAB">
      <w:pPr>
        <w:jc w:val="both"/>
        <w:rPr>
          <w:rFonts w:ascii="Monsserrat" w:hAnsi="Monsserrat"/>
          <w:sz w:val="25"/>
          <w:szCs w:val="25"/>
        </w:rPr>
      </w:pPr>
    </w:p>
    <w:tbl>
      <w:tblPr>
        <w:tblW w:w="8622" w:type="dxa"/>
        <w:jc w:val="center"/>
        <w:tblLayout w:type="fixed"/>
        <w:tblLook w:val="0400" w:firstRow="0" w:lastRow="0" w:firstColumn="0" w:lastColumn="0" w:noHBand="0" w:noVBand="1"/>
      </w:tblPr>
      <w:tblGrid>
        <w:gridCol w:w="1127"/>
        <w:gridCol w:w="4436"/>
        <w:gridCol w:w="1418"/>
        <w:gridCol w:w="1641"/>
      </w:tblGrid>
      <w:tr w:rsidR="00FD3EAB" w:rsidRPr="003D090B" w14:paraId="6E8D3D20"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9417F9"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Cuenta</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687050"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Concepto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9AA7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Años de vida útil</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FE804F"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 de depreciación anual</w:t>
            </w:r>
          </w:p>
        </w:tc>
      </w:tr>
      <w:tr w:rsidR="00FD3EAB" w:rsidRPr="003D090B" w14:paraId="5EF6EA1F"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6EDA27" w14:textId="77777777" w:rsidR="00FD3EAB" w:rsidRPr="003D090B" w:rsidRDefault="00FD3EAB" w:rsidP="00D06175">
            <w:pPr>
              <w:rPr>
                <w:rFonts w:ascii="Monsserrat" w:hAnsi="Monsserrat"/>
                <w:sz w:val="25"/>
                <w:szCs w:val="25"/>
              </w:rPr>
            </w:pPr>
            <w:r w:rsidRPr="003D090B">
              <w:rPr>
                <w:rFonts w:ascii="Monsserrat" w:hAnsi="Monsserrat"/>
                <w:sz w:val="25"/>
                <w:szCs w:val="25"/>
              </w:rPr>
              <w:t>1.2.3</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6B3E8CE" w14:textId="77777777" w:rsidR="00FD3EAB" w:rsidRPr="003D090B" w:rsidRDefault="00FD3EAB" w:rsidP="00D06175">
            <w:pPr>
              <w:rPr>
                <w:rFonts w:ascii="Monsserrat" w:hAnsi="Monsserrat"/>
                <w:sz w:val="25"/>
                <w:szCs w:val="25"/>
              </w:rPr>
            </w:pPr>
            <w:r w:rsidRPr="003D090B">
              <w:rPr>
                <w:rFonts w:ascii="Monsserrat" w:hAnsi="Monsserrat"/>
                <w:sz w:val="25"/>
                <w:szCs w:val="25"/>
              </w:rPr>
              <w:t>BIENES INMUEBLES, INFRAESTRUCTURA Y CONSTRUCCIONES EN PROCESO</w:t>
            </w:r>
          </w:p>
        </w:tc>
      </w:tr>
      <w:tr w:rsidR="00FD3EAB" w:rsidRPr="003D090B" w14:paraId="6EE2D645" w14:textId="77777777" w:rsidTr="003D090B">
        <w:trPr>
          <w:trHeight w:val="303"/>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808572" w14:textId="77777777" w:rsidR="00FD3EAB" w:rsidRPr="003D090B" w:rsidRDefault="00FD3EAB" w:rsidP="00D06175">
            <w:pPr>
              <w:rPr>
                <w:rFonts w:ascii="Monsserrat" w:hAnsi="Monsserrat"/>
                <w:sz w:val="25"/>
                <w:szCs w:val="25"/>
              </w:rPr>
            </w:pPr>
            <w:r w:rsidRPr="003D090B">
              <w:rPr>
                <w:rFonts w:ascii="Monsserrat" w:hAnsi="Monsserrat"/>
                <w:sz w:val="25"/>
                <w:szCs w:val="25"/>
              </w:rPr>
              <w:t>1.2.3.2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C4C9D" w14:textId="77777777" w:rsidR="00FD3EAB" w:rsidRPr="003D090B" w:rsidRDefault="00FD3EAB" w:rsidP="00D06175">
            <w:pPr>
              <w:rPr>
                <w:rFonts w:ascii="Monsserrat" w:hAnsi="Monsserrat"/>
                <w:sz w:val="25"/>
                <w:szCs w:val="25"/>
              </w:rPr>
            </w:pPr>
            <w:r w:rsidRPr="003D090B">
              <w:rPr>
                <w:rFonts w:ascii="Monsserrat" w:hAnsi="Monsserrat"/>
                <w:sz w:val="25"/>
                <w:szCs w:val="25"/>
              </w:rPr>
              <w:t>Viviendas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6419F2"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443CF1"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w:t>
            </w:r>
          </w:p>
        </w:tc>
      </w:tr>
      <w:tr w:rsidR="00FD3EAB" w:rsidRPr="003D090B" w14:paraId="0A02C56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43046A" w14:textId="77777777" w:rsidR="00FD3EAB" w:rsidRPr="003D090B" w:rsidRDefault="00FD3EAB" w:rsidP="00D06175">
            <w:pPr>
              <w:rPr>
                <w:rFonts w:ascii="Monsserrat" w:hAnsi="Monsserrat"/>
                <w:sz w:val="25"/>
                <w:szCs w:val="25"/>
              </w:rPr>
            </w:pPr>
            <w:r w:rsidRPr="003D090B">
              <w:rPr>
                <w:rFonts w:ascii="Monsserrat" w:hAnsi="Monsserrat"/>
                <w:sz w:val="25"/>
                <w:szCs w:val="25"/>
              </w:rPr>
              <w:t>1.2.3.3</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D06FD" w14:textId="77777777" w:rsidR="00FD3EAB" w:rsidRPr="003D090B" w:rsidRDefault="00FD3EAB" w:rsidP="00D06175">
            <w:pPr>
              <w:rPr>
                <w:rFonts w:ascii="Monsserrat" w:hAnsi="Monsserrat"/>
                <w:sz w:val="25"/>
                <w:szCs w:val="25"/>
              </w:rPr>
            </w:pPr>
            <w:r w:rsidRPr="003D090B">
              <w:rPr>
                <w:rFonts w:ascii="Monsserrat" w:hAnsi="Monsserrat"/>
                <w:sz w:val="25"/>
                <w:szCs w:val="25"/>
              </w:rPr>
              <w:t>Edificios No Habitacionales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1DF65"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73E41B"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3.3</w:t>
            </w:r>
          </w:p>
        </w:tc>
      </w:tr>
      <w:tr w:rsidR="00FD3EAB" w:rsidRPr="003D090B" w14:paraId="5DC2C3FE"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5C32AD" w14:textId="77777777" w:rsidR="00FD3EAB" w:rsidRPr="003D090B" w:rsidRDefault="00FD3EAB" w:rsidP="00D06175">
            <w:pPr>
              <w:rPr>
                <w:rFonts w:ascii="Monsserrat" w:hAnsi="Monsserrat"/>
                <w:sz w:val="25"/>
                <w:szCs w:val="25"/>
              </w:rPr>
            </w:pPr>
            <w:r w:rsidRPr="003D090B">
              <w:rPr>
                <w:rFonts w:ascii="Monsserrat" w:hAnsi="Monsserrat"/>
                <w:sz w:val="25"/>
                <w:szCs w:val="25"/>
              </w:rPr>
              <w:t>1.2.3.4</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10CF0C" w14:textId="77777777" w:rsidR="00FD3EAB" w:rsidRPr="003D090B" w:rsidRDefault="00FD3EAB" w:rsidP="00D06175">
            <w:pPr>
              <w:rPr>
                <w:rFonts w:ascii="Monsserrat" w:hAnsi="Monsserrat"/>
                <w:sz w:val="25"/>
                <w:szCs w:val="25"/>
              </w:rPr>
            </w:pPr>
            <w:r w:rsidRPr="003D090B">
              <w:rPr>
                <w:rFonts w:ascii="Monsserrat" w:hAnsi="Monsserrat"/>
                <w:sz w:val="25"/>
                <w:szCs w:val="25"/>
              </w:rPr>
              <w:t>Infraestructura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E3BBA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A3BE28"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4</w:t>
            </w:r>
          </w:p>
        </w:tc>
      </w:tr>
      <w:tr w:rsidR="00FD3EAB" w:rsidRPr="003D090B" w14:paraId="7D0797E2"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E5E1B6" w14:textId="77777777" w:rsidR="00FD3EAB" w:rsidRPr="003D090B" w:rsidRDefault="00FD3EAB" w:rsidP="00D06175">
            <w:pPr>
              <w:rPr>
                <w:rFonts w:ascii="Monsserrat" w:hAnsi="Monsserrat"/>
                <w:sz w:val="25"/>
                <w:szCs w:val="25"/>
              </w:rPr>
            </w:pPr>
            <w:r w:rsidRPr="003D090B">
              <w:rPr>
                <w:rFonts w:ascii="Monsserrat" w:hAnsi="Monsserrat"/>
                <w:sz w:val="25"/>
                <w:szCs w:val="25"/>
              </w:rPr>
              <w:t>1.2.3.9</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10AEF3" w14:textId="77777777" w:rsidR="00FD3EAB" w:rsidRPr="003D090B" w:rsidRDefault="00FD3EAB" w:rsidP="00D06175">
            <w:pPr>
              <w:rPr>
                <w:rFonts w:ascii="Monsserrat" w:hAnsi="Monsserrat"/>
                <w:sz w:val="25"/>
                <w:szCs w:val="25"/>
              </w:rPr>
            </w:pPr>
            <w:r w:rsidRPr="003D090B">
              <w:rPr>
                <w:rFonts w:ascii="Monsserrat" w:hAnsi="Monsserrat"/>
                <w:sz w:val="25"/>
                <w:szCs w:val="25"/>
              </w:rPr>
              <w:t>Otros Bienes Inmuebles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14841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1BF15E"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r>
      <w:tr w:rsidR="00FD3EAB" w:rsidRPr="003D090B" w14:paraId="5E7DF757" w14:textId="77777777" w:rsidTr="003D090B">
        <w:trPr>
          <w:trHeight w:val="20"/>
          <w:jc w:val="center"/>
        </w:trPr>
        <w:tc>
          <w:tcPr>
            <w:tcW w:w="862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75AB928" w14:textId="77777777" w:rsidR="00FD3EAB" w:rsidRPr="003D090B" w:rsidRDefault="00FD3EAB" w:rsidP="00D06175">
            <w:pPr>
              <w:rPr>
                <w:rFonts w:ascii="Monsserrat" w:hAnsi="Monsserrat"/>
                <w:sz w:val="25"/>
                <w:szCs w:val="25"/>
              </w:rPr>
            </w:pPr>
          </w:p>
        </w:tc>
      </w:tr>
      <w:tr w:rsidR="00FD3EAB" w:rsidRPr="003D090B" w14:paraId="58BE9AD7"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86AD35" w14:textId="77777777" w:rsidR="00FD3EAB" w:rsidRPr="003D090B" w:rsidRDefault="00FD3EAB" w:rsidP="00D06175">
            <w:pPr>
              <w:rPr>
                <w:rFonts w:ascii="Monsserrat" w:hAnsi="Monsserrat"/>
                <w:sz w:val="25"/>
                <w:szCs w:val="25"/>
              </w:rPr>
            </w:pPr>
            <w:r w:rsidRPr="003D090B">
              <w:rPr>
                <w:rFonts w:ascii="Monsserrat" w:hAnsi="Monsserrat"/>
                <w:sz w:val="25"/>
                <w:szCs w:val="25"/>
              </w:rPr>
              <w:t>1.2.4</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46AF939C" w14:textId="77777777" w:rsidR="00FD3EAB" w:rsidRPr="003D090B" w:rsidRDefault="00FD3EAB" w:rsidP="00D06175">
            <w:pPr>
              <w:rPr>
                <w:rFonts w:ascii="Monsserrat" w:hAnsi="Monsserrat"/>
                <w:sz w:val="25"/>
                <w:szCs w:val="25"/>
              </w:rPr>
            </w:pPr>
            <w:r w:rsidRPr="003D090B">
              <w:rPr>
                <w:rFonts w:ascii="Monsserrat" w:hAnsi="Monsserrat"/>
                <w:sz w:val="25"/>
                <w:szCs w:val="25"/>
              </w:rPr>
              <w:t>BIENES MUEBLES</w:t>
            </w:r>
          </w:p>
        </w:tc>
      </w:tr>
      <w:tr w:rsidR="00FD3EAB" w:rsidRPr="003D090B" w14:paraId="62F34C7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471BC6" w14:textId="77777777" w:rsidR="00FD3EAB" w:rsidRPr="003D090B" w:rsidRDefault="00FD3EAB" w:rsidP="00D06175">
            <w:pPr>
              <w:rPr>
                <w:rFonts w:ascii="Monsserrat" w:hAnsi="Monsserrat"/>
                <w:sz w:val="25"/>
                <w:szCs w:val="25"/>
              </w:rPr>
            </w:pPr>
            <w:r w:rsidRPr="003D090B">
              <w:rPr>
                <w:rFonts w:ascii="Monsserrat" w:hAnsi="Monsserrat"/>
                <w:sz w:val="25"/>
                <w:szCs w:val="25"/>
              </w:rPr>
              <w:t>1.2.4.1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014375" w14:textId="77777777" w:rsidR="00FD3EAB" w:rsidRPr="003D090B" w:rsidRDefault="00FD3EAB" w:rsidP="00D06175">
            <w:pPr>
              <w:rPr>
                <w:rFonts w:ascii="Monsserrat" w:hAnsi="Monsserrat"/>
                <w:sz w:val="25"/>
                <w:szCs w:val="25"/>
              </w:rPr>
            </w:pPr>
            <w:r w:rsidRPr="003D090B">
              <w:rPr>
                <w:rFonts w:ascii="Monsserrat" w:hAnsi="Monsserrat"/>
                <w:sz w:val="25"/>
                <w:szCs w:val="25"/>
              </w:rPr>
              <w:t>Mobiliario y Equipo de Administración</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85D91D" w14:textId="77777777" w:rsidR="00FD3EAB" w:rsidRPr="003D090B" w:rsidRDefault="00FD3EAB" w:rsidP="00D06175">
            <w:pPr>
              <w:rPr>
                <w:rFonts w:ascii="Monsserrat" w:hAnsi="Monsserrat"/>
                <w:sz w:val="25"/>
                <w:szCs w:val="25"/>
              </w:rPr>
            </w:pP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E6FFE2" w14:textId="77777777" w:rsidR="00FD3EAB" w:rsidRPr="003D090B" w:rsidRDefault="00FD3EAB" w:rsidP="00D06175">
            <w:pPr>
              <w:rPr>
                <w:rFonts w:ascii="Monsserrat" w:hAnsi="Monsserrat"/>
                <w:sz w:val="25"/>
                <w:szCs w:val="25"/>
              </w:rPr>
            </w:pPr>
          </w:p>
        </w:tc>
      </w:tr>
      <w:tr w:rsidR="00FD3EAB" w:rsidRPr="003D090B" w14:paraId="1B25B12D"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9DA2F" w14:textId="77777777" w:rsidR="00FD3EAB" w:rsidRPr="003D090B" w:rsidRDefault="00FD3EAB" w:rsidP="00D06175">
            <w:pPr>
              <w:rPr>
                <w:rFonts w:ascii="Monsserrat" w:hAnsi="Monsserrat"/>
                <w:sz w:val="25"/>
                <w:szCs w:val="25"/>
              </w:rPr>
            </w:pPr>
            <w:r w:rsidRPr="003D090B">
              <w:rPr>
                <w:rFonts w:ascii="Monsserrat" w:hAnsi="Monsserrat"/>
                <w:sz w:val="25"/>
                <w:szCs w:val="25"/>
              </w:rPr>
              <w:t>1.2.4.1.1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C40C33" w14:textId="77777777" w:rsidR="00FD3EAB" w:rsidRPr="003D090B" w:rsidRDefault="00FD3EAB" w:rsidP="00D06175">
            <w:pPr>
              <w:rPr>
                <w:rFonts w:ascii="Monsserrat" w:hAnsi="Monsserrat"/>
                <w:sz w:val="25"/>
                <w:szCs w:val="25"/>
              </w:rPr>
            </w:pPr>
            <w:r w:rsidRPr="003D090B">
              <w:rPr>
                <w:rFonts w:ascii="Monsserrat" w:hAnsi="Monsserrat"/>
                <w:sz w:val="25"/>
                <w:szCs w:val="25"/>
              </w:rPr>
              <w:t>Muebles de Oficina y Estantería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14D32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F6263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2A284093"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0ADBF9" w14:textId="77777777" w:rsidR="00FD3EAB" w:rsidRPr="003D090B" w:rsidRDefault="00FD3EAB" w:rsidP="00D06175">
            <w:pPr>
              <w:rPr>
                <w:rFonts w:ascii="Monsserrat" w:hAnsi="Monsserrat"/>
                <w:sz w:val="25"/>
                <w:szCs w:val="25"/>
              </w:rPr>
            </w:pPr>
            <w:r w:rsidRPr="003D090B">
              <w:rPr>
                <w:rFonts w:ascii="Monsserrat" w:hAnsi="Monsserrat"/>
                <w:sz w:val="25"/>
                <w:szCs w:val="25"/>
              </w:rPr>
              <w:t>1.2.4.1.2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A5A405" w14:textId="77777777" w:rsidR="00FD3EAB" w:rsidRPr="003D090B" w:rsidRDefault="00FD3EAB" w:rsidP="00D06175">
            <w:pPr>
              <w:rPr>
                <w:rFonts w:ascii="Monsserrat" w:hAnsi="Monsserrat"/>
                <w:sz w:val="25"/>
                <w:szCs w:val="25"/>
              </w:rPr>
            </w:pPr>
            <w:r w:rsidRPr="003D090B">
              <w:rPr>
                <w:rFonts w:ascii="Monsserrat" w:hAnsi="Monsserrat"/>
                <w:sz w:val="25"/>
                <w:szCs w:val="25"/>
              </w:rPr>
              <w:t>Muebles, Excepto De Oficina Y Estantería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920F02"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56AC99"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765FC18B"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421CD2" w14:textId="77777777" w:rsidR="00FD3EAB" w:rsidRPr="003D090B" w:rsidRDefault="00FD3EAB" w:rsidP="00D06175">
            <w:pPr>
              <w:rPr>
                <w:rFonts w:ascii="Monsserrat" w:hAnsi="Monsserrat"/>
                <w:sz w:val="25"/>
                <w:szCs w:val="25"/>
              </w:rPr>
            </w:pPr>
            <w:r w:rsidRPr="003D090B">
              <w:rPr>
                <w:rFonts w:ascii="Monsserrat" w:hAnsi="Monsserrat"/>
                <w:sz w:val="25"/>
                <w:szCs w:val="25"/>
              </w:rPr>
              <w:t>1.2.4.1.3</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5880D4" w14:textId="77777777" w:rsidR="00FD3EAB" w:rsidRPr="003D090B" w:rsidRDefault="00FD3EAB" w:rsidP="00D06175">
            <w:pPr>
              <w:rPr>
                <w:rFonts w:ascii="Monsserrat" w:hAnsi="Monsserrat"/>
                <w:sz w:val="25"/>
                <w:szCs w:val="25"/>
              </w:rPr>
            </w:pPr>
            <w:r w:rsidRPr="003D090B">
              <w:rPr>
                <w:rFonts w:ascii="Monsserrat" w:hAnsi="Monsserrat"/>
                <w:sz w:val="25"/>
                <w:szCs w:val="25"/>
              </w:rPr>
              <w:t>Equipo de Cómputo y de Tecnologías de la Información</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30501"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3D5DA"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33.3</w:t>
            </w:r>
          </w:p>
        </w:tc>
      </w:tr>
      <w:tr w:rsidR="00FD3EAB" w:rsidRPr="003D090B" w14:paraId="4CF3901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90D7EC" w14:textId="77777777" w:rsidR="00FD3EAB" w:rsidRPr="003D090B" w:rsidRDefault="00FD3EAB" w:rsidP="00D06175">
            <w:pPr>
              <w:rPr>
                <w:rFonts w:ascii="Monsserrat" w:hAnsi="Monsserrat"/>
                <w:sz w:val="25"/>
                <w:szCs w:val="25"/>
              </w:rPr>
            </w:pPr>
            <w:r w:rsidRPr="003D090B">
              <w:rPr>
                <w:rFonts w:ascii="Monsserrat" w:hAnsi="Monsserrat"/>
                <w:sz w:val="25"/>
                <w:szCs w:val="25"/>
              </w:rPr>
              <w:t>1.2.4.1.9</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B85E44" w14:textId="77777777" w:rsidR="00FD3EAB" w:rsidRPr="003D090B" w:rsidRDefault="00FD3EAB" w:rsidP="00D06175">
            <w:pPr>
              <w:rPr>
                <w:rFonts w:ascii="Monsserrat" w:hAnsi="Monsserrat"/>
                <w:sz w:val="25"/>
                <w:szCs w:val="25"/>
              </w:rPr>
            </w:pPr>
            <w:r w:rsidRPr="003D090B">
              <w:rPr>
                <w:rFonts w:ascii="Monsserrat" w:hAnsi="Monsserrat"/>
                <w:sz w:val="25"/>
                <w:szCs w:val="25"/>
              </w:rPr>
              <w:t>Otros Mobiliarios y Equipos de Administración</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050EE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19703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7CEEA0B1"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C1B46" w14:textId="77777777" w:rsidR="00FD3EAB" w:rsidRPr="003D090B" w:rsidRDefault="00FD3EAB" w:rsidP="00D06175">
            <w:pPr>
              <w:rPr>
                <w:rFonts w:ascii="Monsserrat" w:hAnsi="Monsserrat"/>
                <w:sz w:val="25"/>
                <w:szCs w:val="25"/>
              </w:rPr>
            </w:pPr>
            <w:r w:rsidRPr="003D090B">
              <w:rPr>
                <w:rFonts w:ascii="Monsserrat" w:hAnsi="Monsserrat"/>
                <w:sz w:val="25"/>
                <w:szCs w:val="25"/>
              </w:rPr>
              <w:t>1.2.4.2</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ADF2080" w14:textId="77777777" w:rsidR="00FD3EAB" w:rsidRPr="003D090B" w:rsidRDefault="00FD3EAB" w:rsidP="00D06175">
            <w:pPr>
              <w:rPr>
                <w:rFonts w:ascii="Monsserrat" w:hAnsi="Monsserrat"/>
                <w:sz w:val="25"/>
                <w:szCs w:val="25"/>
              </w:rPr>
            </w:pPr>
            <w:r w:rsidRPr="003D090B">
              <w:rPr>
                <w:rFonts w:ascii="Monsserrat" w:hAnsi="Monsserrat"/>
                <w:sz w:val="25"/>
                <w:szCs w:val="25"/>
              </w:rPr>
              <w:t>Mobiliario y Equipo Educacional y Recreativo</w:t>
            </w:r>
          </w:p>
        </w:tc>
      </w:tr>
      <w:tr w:rsidR="00FD3EAB" w:rsidRPr="003D090B" w14:paraId="7356C8D4"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97B077" w14:textId="77777777" w:rsidR="00FD3EAB" w:rsidRPr="003D090B" w:rsidRDefault="00FD3EAB" w:rsidP="00D06175">
            <w:pPr>
              <w:rPr>
                <w:rFonts w:ascii="Monsserrat" w:hAnsi="Monsserrat"/>
                <w:sz w:val="25"/>
                <w:szCs w:val="25"/>
              </w:rPr>
            </w:pPr>
            <w:r w:rsidRPr="003D090B">
              <w:rPr>
                <w:rFonts w:ascii="Monsserrat" w:hAnsi="Monsserrat"/>
                <w:sz w:val="25"/>
                <w:szCs w:val="25"/>
              </w:rPr>
              <w:t>1.2.4.2.1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59C355" w14:textId="77777777" w:rsidR="00FD3EAB" w:rsidRPr="003D090B" w:rsidRDefault="00FD3EAB" w:rsidP="00D06175">
            <w:pPr>
              <w:rPr>
                <w:rFonts w:ascii="Monsserrat" w:hAnsi="Monsserrat"/>
                <w:sz w:val="25"/>
                <w:szCs w:val="25"/>
              </w:rPr>
            </w:pPr>
            <w:r w:rsidRPr="003D090B">
              <w:rPr>
                <w:rFonts w:ascii="Monsserrat" w:hAnsi="Monsserrat"/>
                <w:sz w:val="25"/>
                <w:szCs w:val="25"/>
              </w:rPr>
              <w:t>Equipos y Aparatos Audiovisuales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A7889E"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30EF3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33.3</w:t>
            </w:r>
          </w:p>
        </w:tc>
      </w:tr>
      <w:tr w:rsidR="00FD3EAB" w:rsidRPr="003D090B" w14:paraId="23F94568"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636CC4" w14:textId="77777777" w:rsidR="00FD3EAB" w:rsidRPr="003D090B" w:rsidRDefault="00FD3EAB" w:rsidP="00D06175">
            <w:pPr>
              <w:rPr>
                <w:rFonts w:ascii="Monsserrat" w:hAnsi="Monsserrat"/>
                <w:sz w:val="25"/>
                <w:szCs w:val="25"/>
              </w:rPr>
            </w:pPr>
            <w:r w:rsidRPr="003D090B">
              <w:rPr>
                <w:rFonts w:ascii="Monsserrat" w:hAnsi="Monsserrat"/>
                <w:sz w:val="25"/>
                <w:szCs w:val="25"/>
              </w:rPr>
              <w:t>1.2.4.2.2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508FDD" w14:textId="77777777" w:rsidR="00FD3EAB" w:rsidRPr="003D090B" w:rsidRDefault="00FD3EAB" w:rsidP="00D06175">
            <w:pPr>
              <w:rPr>
                <w:rFonts w:ascii="Monsserrat" w:hAnsi="Monsserrat"/>
                <w:sz w:val="25"/>
                <w:szCs w:val="25"/>
              </w:rPr>
            </w:pPr>
            <w:r w:rsidRPr="003D090B">
              <w:rPr>
                <w:rFonts w:ascii="Monsserrat" w:hAnsi="Monsserrat"/>
                <w:sz w:val="25"/>
                <w:szCs w:val="25"/>
              </w:rPr>
              <w:t>Aparatos Deportivos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AC0A5F"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16A65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20669293"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E877EE" w14:textId="77777777" w:rsidR="00FD3EAB" w:rsidRPr="003D090B" w:rsidRDefault="00FD3EAB" w:rsidP="00D06175">
            <w:pPr>
              <w:rPr>
                <w:rFonts w:ascii="Monsserrat" w:hAnsi="Monsserrat"/>
                <w:sz w:val="25"/>
                <w:szCs w:val="25"/>
              </w:rPr>
            </w:pPr>
            <w:r w:rsidRPr="003D090B">
              <w:rPr>
                <w:rFonts w:ascii="Monsserrat" w:hAnsi="Monsserrat"/>
                <w:sz w:val="25"/>
                <w:szCs w:val="25"/>
              </w:rPr>
              <w:t>1.2.4.2.3</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4DB46F" w14:textId="77777777" w:rsidR="00FD3EAB" w:rsidRPr="003D090B" w:rsidRDefault="00FD3EAB" w:rsidP="00D06175">
            <w:pPr>
              <w:rPr>
                <w:rFonts w:ascii="Monsserrat" w:hAnsi="Monsserrat"/>
                <w:sz w:val="25"/>
                <w:szCs w:val="25"/>
              </w:rPr>
            </w:pPr>
            <w:r w:rsidRPr="003D090B">
              <w:rPr>
                <w:rFonts w:ascii="Monsserrat" w:hAnsi="Monsserrat"/>
                <w:sz w:val="25"/>
                <w:szCs w:val="25"/>
              </w:rPr>
              <w:t>Cámaras Fotográficas y de Video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0FF165"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AC9F42"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33.3</w:t>
            </w:r>
          </w:p>
        </w:tc>
      </w:tr>
      <w:tr w:rsidR="00FD3EAB" w:rsidRPr="003D090B" w14:paraId="4894A352"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11E4F3" w14:textId="77777777" w:rsidR="00FD3EAB" w:rsidRPr="003D090B" w:rsidRDefault="00FD3EAB" w:rsidP="00D06175">
            <w:pPr>
              <w:rPr>
                <w:rFonts w:ascii="Monsserrat" w:hAnsi="Monsserrat"/>
                <w:sz w:val="25"/>
                <w:szCs w:val="25"/>
              </w:rPr>
            </w:pPr>
            <w:r w:rsidRPr="003D090B">
              <w:rPr>
                <w:rFonts w:ascii="Monsserrat" w:hAnsi="Monsserrat"/>
                <w:sz w:val="25"/>
                <w:szCs w:val="25"/>
              </w:rPr>
              <w:t>1.2.4.2.9</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89060F" w14:textId="77777777" w:rsidR="00FD3EAB" w:rsidRPr="003D090B" w:rsidRDefault="00FD3EAB" w:rsidP="00D06175">
            <w:pPr>
              <w:rPr>
                <w:rFonts w:ascii="Monsserrat" w:hAnsi="Monsserrat"/>
                <w:sz w:val="25"/>
                <w:szCs w:val="25"/>
              </w:rPr>
            </w:pPr>
            <w:r w:rsidRPr="003D090B">
              <w:rPr>
                <w:rFonts w:ascii="Monsserrat" w:hAnsi="Monsserrat"/>
                <w:sz w:val="25"/>
                <w:szCs w:val="25"/>
              </w:rPr>
              <w:t xml:space="preserve">Otro Mobiliario y Equipo Educacional y </w:t>
            </w:r>
            <w:r w:rsidRPr="003D090B">
              <w:rPr>
                <w:rFonts w:ascii="Monsserrat" w:hAnsi="Monsserrat"/>
                <w:sz w:val="25"/>
                <w:szCs w:val="25"/>
              </w:rPr>
              <w:lastRenderedPageBreak/>
              <w:t>Recreativo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BA47BE"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lastRenderedPageBreak/>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EF2C8"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031C5454" w14:textId="77777777" w:rsidTr="003D090B">
        <w:trPr>
          <w:trHeight w:val="20"/>
          <w:jc w:val="center"/>
        </w:trPr>
        <w:tc>
          <w:tcPr>
            <w:tcW w:w="862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94A5144" w14:textId="77777777" w:rsidR="00FD3EAB" w:rsidRPr="003D090B" w:rsidRDefault="00FD3EAB" w:rsidP="00D06175">
            <w:pPr>
              <w:rPr>
                <w:rFonts w:ascii="Monsserrat" w:hAnsi="Monsserrat"/>
                <w:sz w:val="25"/>
                <w:szCs w:val="25"/>
              </w:rPr>
            </w:pPr>
          </w:p>
        </w:tc>
      </w:tr>
      <w:tr w:rsidR="00FD3EAB" w:rsidRPr="003D090B" w14:paraId="20960105"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DBDDF3" w14:textId="77777777" w:rsidR="00FD3EAB" w:rsidRPr="003D090B" w:rsidRDefault="00FD3EAB" w:rsidP="00D06175">
            <w:pPr>
              <w:rPr>
                <w:rFonts w:ascii="Monsserrat" w:hAnsi="Monsserrat"/>
                <w:sz w:val="25"/>
                <w:szCs w:val="25"/>
              </w:rPr>
            </w:pPr>
            <w:r w:rsidRPr="003D090B">
              <w:rPr>
                <w:rFonts w:ascii="Monsserrat" w:hAnsi="Monsserrat"/>
                <w:sz w:val="25"/>
                <w:szCs w:val="25"/>
              </w:rPr>
              <w:t>1.2.4.3</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3DDE9F67" w14:textId="77777777" w:rsidR="00FD3EAB" w:rsidRPr="003D090B" w:rsidRDefault="00FD3EAB" w:rsidP="00D06175">
            <w:pPr>
              <w:rPr>
                <w:rFonts w:ascii="Monsserrat" w:hAnsi="Monsserrat"/>
                <w:sz w:val="25"/>
                <w:szCs w:val="25"/>
              </w:rPr>
            </w:pPr>
            <w:r w:rsidRPr="003D090B">
              <w:rPr>
                <w:rFonts w:ascii="Monsserrat" w:hAnsi="Monsserrat"/>
                <w:sz w:val="25"/>
                <w:szCs w:val="25"/>
              </w:rPr>
              <w:t>Equipo e Instrumental Médico y de Laboratorio</w:t>
            </w:r>
          </w:p>
        </w:tc>
      </w:tr>
      <w:tr w:rsidR="00FD3EAB" w:rsidRPr="003D090B" w14:paraId="64369237"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B1E50C" w14:textId="77777777" w:rsidR="00FD3EAB" w:rsidRPr="003D090B" w:rsidRDefault="00FD3EAB" w:rsidP="00D06175">
            <w:pPr>
              <w:rPr>
                <w:rFonts w:ascii="Monsserrat" w:hAnsi="Monsserrat"/>
                <w:sz w:val="25"/>
                <w:szCs w:val="25"/>
              </w:rPr>
            </w:pPr>
            <w:r w:rsidRPr="003D090B">
              <w:rPr>
                <w:rFonts w:ascii="Monsserrat" w:hAnsi="Monsserrat"/>
                <w:sz w:val="25"/>
                <w:szCs w:val="25"/>
              </w:rPr>
              <w:t>1.2.4.3.1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ACDB19" w14:textId="77777777" w:rsidR="00FD3EAB" w:rsidRPr="003D090B" w:rsidRDefault="00FD3EAB" w:rsidP="00D06175">
            <w:pPr>
              <w:rPr>
                <w:rFonts w:ascii="Monsserrat" w:hAnsi="Monsserrat"/>
                <w:sz w:val="25"/>
                <w:szCs w:val="25"/>
              </w:rPr>
            </w:pPr>
            <w:r w:rsidRPr="003D090B">
              <w:rPr>
                <w:rFonts w:ascii="Monsserrat" w:hAnsi="Monsserrat"/>
                <w:sz w:val="25"/>
                <w:szCs w:val="25"/>
              </w:rPr>
              <w:t>Equipo Médico y de Laboratorio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5E0A79"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C4AD3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6D56D3A2"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942365" w14:textId="77777777" w:rsidR="00FD3EAB" w:rsidRPr="003D090B" w:rsidRDefault="00FD3EAB" w:rsidP="00D06175">
            <w:pPr>
              <w:rPr>
                <w:rFonts w:ascii="Monsserrat" w:hAnsi="Monsserrat"/>
                <w:sz w:val="25"/>
                <w:szCs w:val="25"/>
              </w:rPr>
            </w:pPr>
            <w:r w:rsidRPr="003D090B">
              <w:rPr>
                <w:rFonts w:ascii="Monsserrat" w:hAnsi="Monsserrat"/>
                <w:sz w:val="25"/>
                <w:szCs w:val="25"/>
              </w:rPr>
              <w:t>1.2.4.3.2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EA43E" w14:textId="77777777" w:rsidR="00FD3EAB" w:rsidRPr="003D090B" w:rsidRDefault="00FD3EAB" w:rsidP="00D06175">
            <w:pPr>
              <w:rPr>
                <w:rFonts w:ascii="Monsserrat" w:hAnsi="Monsserrat"/>
                <w:sz w:val="25"/>
                <w:szCs w:val="25"/>
              </w:rPr>
            </w:pPr>
            <w:r w:rsidRPr="003D090B">
              <w:rPr>
                <w:rFonts w:ascii="Monsserrat" w:hAnsi="Monsserrat"/>
                <w:sz w:val="25"/>
                <w:szCs w:val="25"/>
              </w:rPr>
              <w:t>Instrumental Médico y de Laboratorio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8FD477"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D6891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5B2B597A" w14:textId="77777777" w:rsidTr="003D090B">
        <w:trPr>
          <w:trHeight w:val="20"/>
          <w:jc w:val="center"/>
        </w:trPr>
        <w:tc>
          <w:tcPr>
            <w:tcW w:w="862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701CD3C" w14:textId="77777777" w:rsidR="00FD3EAB" w:rsidRPr="003D090B" w:rsidRDefault="00FD3EAB" w:rsidP="00D06175">
            <w:pPr>
              <w:rPr>
                <w:rFonts w:ascii="Monsserrat" w:hAnsi="Monsserrat"/>
                <w:sz w:val="25"/>
                <w:szCs w:val="25"/>
              </w:rPr>
            </w:pPr>
          </w:p>
        </w:tc>
      </w:tr>
      <w:tr w:rsidR="00FD3EAB" w:rsidRPr="003D090B" w14:paraId="148B1EB7"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47FA1" w14:textId="77777777" w:rsidR="00FD3EAB" w:rsidRPr="003D090B" w:rsidRDefault="00FD3EAB" w:rsidP="00D06175">
            <w:pPr>
              <w:rPr>
                <w:rFonts w:ascii="Monsserrat" w:hAnsi="Monsserrat"/>
                <w:sz w:val="25"/>
                <w:szCs w:val="25"/>
              </w:rPr>
            </w:pPr>
            <w:r w:rsidRPr="003D090B">
              <w:rPr>
                <w:rFonts w:ascii="Monsserrat" w:hAnsi="Monsserrat"/>
                <w:sz w:val="25"/>
                <w:szCs w:val="25"/>
              </w:rPr>
              <w:t>1.2.4.4</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127102F5" w14:textId="77777777" w:rsidR="00FD3EAB" w:rsidRPr="003D090B" w:rsidRDefault="00FD3EAB" w:rsidP="00D06175">
            <w:pPr>
              <w:rPr>
                <w:rFonts w:ascii="Monsserrat" w:hAnsi="Monsserrat"/>
                <w:sz w:val="25"/>
                <w:szCs w:val="25"/>
              </w:rPr>
            </w:pPr>
            <w:r w:rsidRPr="003D090B">
              <w:rPr>
                <w:rFonts w:ascii="Monsserrat" w:hAnsi="Monsserrat"/>
                <w:sz w:val="25"/>
                <w:szCs w:val="25"/>
              </w:rPr>
              <w:t>Equipo de Transporte</w:t>
            </w:r>
          </w:p>
        </w:tc>
      </w:tr>
      <w:tr w:rsidR="00FD3EAB" w:rsidRPr="003D090B" w14:paraId="50CEEF14"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5FE50" w14:textId="77777777" w:rsidR="00FD3EAB" w:rsidRPr="003D090B" w:rsidRDefault="00FD3EAB" w:rsidP="00D06175">
            <w:pPr>
              <w:rPr>
                <w:rFonts w:ascii="Monsserrat" w:hAnsi="Monsserrat"/>
                <w:sz w:val="25"/>
                <w:szCs w:val="25"/>
              </w:rPr>
            </w:pPr>
            <w:r w:rsidRPr="003D090B">
              <w:rPr>
                <w:rFonts w:ascii="Monsserrat" w:hAnsi="Monsserrat"/>
                <w:sz w:val="25"/>
                <w:szCs w:val="25"/>
              </w:rPr>
              <w:t>1.2.4.4.1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9A26DE" w14:textId="77777777" w:rsidR="00FD3EAB" w:rsidRPr="003D090B" w:rsidRDefault="00FD3EAB" w:rsidP="00D06175">
            <w:pPr>
              <w:rPr>
                <w:rFonts w:ascii="Monsserrat" w:hAnsi="Monsserrat"/>
                <w:sz w:val="25"/>
                <w:szCs w:val="25"/>
              </w:rPr>
            </w:pPr>
            <w:r w:rsidRPr="003D090B">
              <w:rPr>
                <w:rFonts w:ascii="Monsserrat" w:hAnsi="Monsserrat"/>
                <w:sz w:val="25"/>
                <w:szCs w:val="25"/>
              </w:rPr>
              <w:t>Automóviles y Equipo Terrestre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D1EA64"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19CCB4"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28EC3CD1"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B6BC5E" w14:textId="77777777" w:rsidR="00FD3EAB" w:rsidRPr="003D090B" w:rsidRDefault="00FD3EAB" w:rsidP="00D06175">
            <w:pPr>
              <w:rPr>
                <w:rFonts w:ascii="Monsserrat" w:hAnsi="Monsserrat"/>
                <w:sz w:val="25"/>
                <w:szCs w:val="25"/>
              </w:rPr>
            </w:pPr>
            <w:r w:rsidRPr="003D090B">
              <w:rPr>
                <w:rFonts w:ascii="Monsserrat" w:hAnsi="Monsserrat"/>
                <w:sz w:val="25"/>
                <w:szCs w:val="25"/>
              </w:rPr>
              <w:t>1.2.4.4.2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651D6A" w14:textId="77777777" w:rsidR="00FD3EAB" w:rsidRPr="003D090B" w:rsidRDefault="00FD3EAB" w:rsidP="00D06175">
            <w:pPr>
              <w:rPr>
                <w:rFonts w:ascii="Monsserrat" w:hAnsi="Monsserrat"/>
                <w:sz w:val="25"/>
                <w:szCs w:val="25"/>
              </w:rPr>
            </w:pPr>
            <w:r w:rsidRPr="003D090B">
              <w:rPr>
                <w:rFonts w:ascii="Monsserrat" w:hAnsi="Monsserrat"/>
                <w:sz w:val="25"/>
                <w:szCs w:val="25"/>
              </w:rPr>
              <w:t>Carrocerías y Remolques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65F5A"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24AC20"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50DB3FDF"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E5E317" w14:textId="77777777" w:rsidR="00FD3EAB" w:rsidRPr="003D090B" w:rsidRDefault="00FD3EAB" w:rsidP="00D06175">
            <w:pPr>
              <w:rPr>
                <w:rFonts w:ascii="Monsserrat" w:hAnsi="Monsserrat"/>
                <w:sz w:val="25"/>
                <w:szCs w:val="25"/>
              </w:rPr>
            </w:pPr>
            <w:r w:rsidRPr="003D090B">
              <w:rPr>
                <w:rFonts w:ascii="Monsserrat" w:hAnsi="Monsserrat"/>
                <w:sz w:val="25"/>
                <w:szCs w:val="25"/>
              </w:rPr>
              <w:t>1.2.4.4.3</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458F91" w14:textId="77777777" w:rsidR="00FD3EAB" w:rsidRPr="003D090B" w:rsidRDefault="00FD3EAB" w:rsidP="00D06175">
            <w:pPr>
              <w:rPr>
                <w:rFonts w:ascii="Monsserrat" w:hAnsi="Monsserrat"/>
                <w:sz w:val="25"/>
                <w:szCs w:val="25"/>
              </w:rPr>
            </w:pPr>
            <w:r w:rsidRPr="003D090B">
              <w:rPr>
                <w:rFonts w:ascii="Monsserrat" w:hAnsi="Monsserrat"/>
                <w:sz w:val="25"/>
                <w:szCs w:val="25"/>
              </w:rPr>
              <w:t>Equipo Aeroespacial</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A19FF1"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1BA78"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01F83C3F"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E2349" w14:textId="77777777" w:rsidR="00FD3EAB" w:rsidRPr="003D090B" w:rsidRDefault="00FD3EAB" w:rsidP="00D06175">
            <w:pPr>
              <w:rPr>
                <w:rFonts w:ascii="Monsserrat" w:hAnsi="Monsserrat"/>
                <w:sz w:val="25"/>
                <w:szCs w:val="25"/>
              </w:rPr>
            </w:pPr>
            <w:r w:rsidRPr="003D090B">
              <w:rPr>
                <w:rFonts w:ascii="Monsserrat" w:hAnsi="Monsserrat"/>
                <w:sz w:val="25"/>
                <w:szCs w:val="25"/>
              </w:rPr>
              <w:t>1.2.4.4.4</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0C4FC2" w14:textId="77777777" w:rsidR="00FD3EAB" w:rsidRPr="003D090B" w:rsidRDefault="00FD3EAB" w:rsidP="00D06175">
            <w:pPr>
              <w:rPr>
                <w:rFonts w:ascii="Monsserrat" w:hAnsi="Monsserrat"/>
                <w:sz w:val="25"/>
                <w:szCs w:val="25"/>
              </w:rPr>
            </w:pPr>
            <w:r w:rsidRPr="003D090B">
              <w:rPr>
                <w:rFonts w:ascii="Monsserrat" w:hAnsi="Monsserrat"/>
                <w:sz w:val="25"/>
                <w:szCs w:val="25"/>
              </w:rPr>
              <w:t>Equipo Ferroviario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5C8DB4"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B5367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39A6C076"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2BE068" w14:textId="77777777" w:rsidR="00FD3EAB" w:rsidRPr="003D090B" w:rsidRDefault="00FD3EAB" w:rsidP="00D06175">
            <w:pPr>
              <w:rPr>
                <w:rFonts w:ascii="Monsserrat" w:hAnsi="Monsserrat"/>
                <w:sz w:val="25"/>
                <w:szCs w:val="25"/>
              </w:rPr>
            </w:pPr>
            <w:r w:rsidRPr="003D090B">
              <w:rPr>
                <w:rFonts w:ascii="Monsserrat" w:hAnsi="Monsserrat"/>
                <w:sz w:val="25"/>
                <w:szCs w:val="25"/>
              </w:rPr>
              <w:t>1.2.4.4.5</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4CAD01" w14:textId="77777777" w:rsidR="00FD3EAB" w:rsidRPr="003D090B" w:rsidRDefault="00FD3EAB" w:rsidP="00D06175">
            <w:pPr>
              <w:rPr>
                <w:rFonts w:ascii="Monsserrat" w:hAnsi="Monsserrat"/>
                <w:sz w:val="25"/>
                <w:szCs w:val="25"/>
              </w:rPr>
            </w:pPr>
            <w:r w:rsidRPr="003D090B">
              <w:rPr>
                <w:rFonts w:ascii="Monsserrat" w:hAnsi="Monsserrat"/>
                <w:sz w:val="25"/>
                <w:szCs w:val="25"/>
              </w:rPr>
              <w:t>Embarcaciones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95EB30"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6C528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55F42837"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324A47" w14:textId="77777777" w:rsidR="00FD3EAB" w:rsidRPr="003D090B" w:rsidRDefault="00FD3EAB" w:rsidP="00D06175">
            <w:pPr>
              <w:rPr>
                <w:rFonts w:ascii="Monsserrat" w:hAnsi="Monsserrat"/>
                <w:sz w:val="25"/>
                <w:szCs w:val="25"/>
              </w:rPr>
            </w:pPr>
            <w:r w:rsidRPr="003D090B">
              <w:rPr>
                <w:rFonts w:ascii="Monsserrat" w:hAnsi="Monsserrat"/>
                <w:sz w:val="25"/>
                <w:szCs w:val="25"/>
              </w:rPr>
              <w:t>1.2.4.4.9</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5876B6" w14:textId="77777777" w:rsidR="00FD3EAB" w:rsidRPr="003D090B" w:rsidRDefault="00FD3EAB" w:rsidP="00D06175">
            <w:pPr>
              <w:rPr>
                <w:rFonts w:ascii="Monsserrat" w:hAnsi="Monsserrat"/>
                <w:sz w:val="25"/>
                <w:szCs w:val="25"/>
              </w:rPr>
            </w:pPr>
            <w:r w:rsidRPr="003D090B">
              <w:rPr>
                <w:rFonts w:ascii="Monsserrat" w:hAnsi="Monsserrat"/>
                <w:sz w:val="25"/>
                <w:szCs w:val="25"/>
              </w:rPr>
              <w:t>Otros Equipos de Transporte</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CEF3B0"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67A365"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2066130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B7AD9C" w14:textId="77777777" w:rsidR="00FD3EAB" w:rsidRPr="003D090B" w:rsidRDefault="00FD3EAB" w:rsidP="00D06175">
            <w:pPr>
              <w:rPr>
                <w:rFonts w:ascii="Monsserrat" w:hAnsi="Monsserrat"/>
                <w:sz w:val="25"/>
                <w:szCs w:val="25"/>
              </w:rPr>
            </w:pPr>
            <w:r w:rsidRPr="003D090B">
              <w:rPr>
                <w:rFonts w:ascii="Monsserrat" w:hAnsi="Monsserrat"/>
                <w:sz w:val="25"/>
                <w:szCs w:val="25"/>
              </w:rPr>
              <w:t>1.2.4.5</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8BF52B" w14:textId="77777777" w:rsidR="00FD3EAB" w:rsidRPr="003D090B" w:rsidRDefault="00FD3EAB" w:rsidP="00D06175">
            <w:pPr>
              <w:rPr>
                <w:rFonts w:ascii="Monsserrat" w:hAnsi="Monsserrat"/>
                <w:sz w:val="25"/>
                <w:szCs w:val="25"/>
              </w:rPr>
            </w:pPr>
            <w:r w:rsidRPr="003D090B">
              <w:rPr>
                <w:rFonts w:ascii="Monsserrat" w:hAnsi="Monsserrat"/>
                <w:sz w:val="25"/>
                <w:szCs w:val="25"/>
              </w:rPr>
              <w:t>Equipo de Defensa y Seguridad</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492EA4"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8F1003"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w:t>
            </w:r>
          </w:p>
        </w:tc>
      </w:tr>
      <w:tr w:rsidR="00FD3EAB" w:rsidRPr="003D090B" w14:paraId="08A0602D" w14:textId="77777777" w:rsidTr="003D090B">
        <w:trPr>
          <w:trHeight w:val="20"/>
          <w:jc w:val="center"/>
        </w:trPr>
        <w:tc>
          <w:tcPr>
            <w:tcW w:w="862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6F53935" w14:textId="77777777" w:rsidR="00FD3EAB" w:rsidRPr="003D090B" w:rsidRDefault="00FD3EAB" w:rsidP="00D06175">
            <w:pPr>
              <w:rPr>
                <w:rFonts w:ascii="Monsserrat" w:hAnsi="Monsserrat"/>
                <w:sz w:val="25"/>
                <w:szCs w:val="25"/>
              </w:rPr>
            </w:pPr>
          </w:p>
        </w:tc>
      </w:tr>
      <w:tr w:rsidR="00FD3EAB" w:rsidRPr="003D090B" w14:paraId="1C2D05B1"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96617D" w14:textId="77777777" w:rsidR="00FD3EAB" w:rsidRPr="003D090B" w:rsidRDefault="00FD3EAB" w:rsidP="00D06175">
            <w:pPr>
              <w:rPr>
                <w:rFonts w:ascii="Monsserrat" w:hAnsi="Monsserrat"/>
                <w:sz w:val="25"/>
                <w:szCs w:val="25"/>
              </w:rPr>
            </w:pPr>
            <w:r w:rsidRPr="003D090B">
              <w:rPr>
                <w:rFonts w:ascii="Monsserrat" w:hAnsi="Monsserrat"/>
                <w:sz w:val="25"/>
                <w:szCs w:val="25"/>
              </w:rPr>
              <w:t>1.2.4.6</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326A24C" w14:textId="77777777" w:rsidR="00FD3EAB" w:rsidRPr="003D090B" w:rsidRDefault="00FD3EAB" w:rsidP="00D06175">
            <w:pPr>
              <w:rPr>
                <w:rFonts w:ascii="Monsserrat" w:hAnsi="Monsserrat"/>
                <w:sz w:val="25"/>
                <w:szCs w:val="25"/>
              </w:rPr>
            </w:pPr>
            <w:r w:rsidRPr="003D090B">
              <w:rPr>
                <w:rFonts w:ascii="Monsserrat" w:hAnsi="Monsserrat"/>
                <w:sz w:val="25"/>
                <w:szCs w:val="25"/>
              </w:rPr>
              <w:t>Maquinaria, Otros Equipos y Herramientas</w:t>
            </w:r>
          </w:p>
        </w:tc>
      </w:tr>
      <w:tr w:rsidR="00FD3EAB" w:rsidRPr="003D090B" w14:paraId="2CD12DA5"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40271A" w14:textId="77777777" w:rsidR="00FD3EAB" w:rsidRPr="003D090B" w:rsidRDefault="00FD3EAB" w:rsidP="00D06175">
            <w:pPr>
              <w:rPr>
                <w:rFonts w:ascii="Monsserrat" w:hAnsi="Monsserrat"/>
                <w:sz w:val="25"/>
                <w:szCs w:val="25"/>
              </w:rPr>
            </w:pPr>
            <w:r w:rsidRPr="003D090B">
              <w:rPr>
                <w:rFonts w:ascii="Monsserrat" w:hAnsi="Monsserrat"/>
                <w:sz w:val="25"/>
                <w:szCs w:val="25"/>
              </w:rPr>
              <w:t>1.2.4.6.1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28D514" w14:textId="77777777" w:rsidR="00FD3EAB" w:rsidRPr="003D090B" w:rsidRDefault="00FD3EAB" w:rsidP="00D06175">
            <w:pPr>
              <w:rPr>
                <w:rFonts w:ascii="Monsserrat" w:hAnsi="Monsserrat"/>
                <w:sz w:val="25"/>
                <w:szCs w:val="25"/>
              </w:rPr>
            </w:pPr>
            <w:r w:rsidRPr="003D090B">
              <w:rPr>
                <w:rFonts w:ascii="Monsserrat" w:hAnsi="Monsserrat"/>
                <w:sz w:val="25"/>
                <w:szCs w:val="25"/>
              </w:rPr>
              <w:t>Maquinaria y Equipo Agropecuario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8348CA"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8C5623"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7D691570"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D0DDDE" w14:textId="77777777" w:rsidR="00FD3EAB" w:rsidRPr="003D090B" w:rsidRDefault="00FD3EAB" w:rsidP="00D06175">
            <w:pPr>
              <w:rPr>
                <w:rFonts w:ascii="Monsserrat" w:hAnsi="Monsserrat"/>
                <w:sz w:val="25"/>
                <w:szCs w:val="25"/>
              </w:rPr>
            </w:pPr>
            <w:r w:rsidRPr="003D090B">
              <w:rPr>
                <w:rFonts w:ascii="Monsserrat" w:hAnsi="Monsserrat"/>
                <w:sz w:val="25"/>
                <w:szCs w:val="25"/>
              </w:rPr>
              <w:t>1.2.4.6.2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DC8011" w14:textId="77777777" w:rsidR="00FD3EAB" w:rsidRPr="003D090B" w:rsidRDefault="00FD3EAB" w:rsidP="00D06175">
            <w:pPr>
              <w:rPr>
                <w:rFonts w:ascii="Monsserrat" w:hAnsi="Monsserrat"/>
                <w:sz w:val="25"/>
                <w:szCs w:val="25"/>
              </w:rPr>
            </w:pPr>
            <w:r w:rsidRPr="003D090B">
              <w:rPr>
                <w:rFonts w:ascii="Monsserrat" w:hAnsi="Monsserrat"/>
                <w:sz w:val="25"/>
                <w:szCs w:val="25"/>
              </w:rPr>
              <w:t xml:space="preserve">Maquinaria y Equipo Industrial </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29CDB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6A307"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09846CA7"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6857FB" w14:textId="77777777" w:rsidR="00FD3EAB" w:rsidRPr="003D090B" w:rsidRDefault="00FD3EAB" w:rsidP="00D06175">
            <w:pPr>
              <w:rPr>
                <w:rFonts w:ascii="Monsserrat" w:hAnsi="Monsserrat"/>
                <w:sz w:val="25"/>
                <w:szCs w:val="25"/>
              </w:rPr>
            </w:pPr>
            <w:r w:rsidRPr="003D090B">
              <w:rPr>
                <w:rFonts w:ascii="Monsserrat" w:hAnsi="Monsserrat"/>
                <w:sz w:val="25"/>
                <w:szCs w:val="25"/>
              </w:rPr>
              <w:t>1.2.4.6.3</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042069" w14:textId="77777777" w:rsidR="00FD3EAB" w:rsidRPr="003D090B" w:rsidRDefault="00FD3EAB" w:rsidP="00D06175">
            <w:pPr>
              <w:rPr>
                <w:rFonts w:ascii="Monsserrat" w:hAnsi="Monsserrat"/>
                <w:sz w:val="25"/>
                <w:szCs w:val="25"/>
              </w:rPr>
            </w:pPr>
            <w:r w:rsidRPr="003D090B">
              <w:rPr>
                <w:rFonts w:ascii="Monsserrat" w:hAnsi="Monsserrat"/>
                <w:sz w:val="25"/>
                <w:szCs w:val="25"/>
              </w:rPr>
              <w:t>Maquinaria y Equipo de Construcción</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C2905"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9E8C98"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58918361"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48F672" w14:textId="77777777" w:rsidR="00FD3EAB" w:rsidRPr="003D090B" w:rsidRDefault="00FD3EAB" w:rsidP="00D06175">
            <w:pPr>
              <w:rPr>
                <w:rFonts w:ascii="Monsserrat" w:hAnsi="Monsserrat"/>
                <w:sz w:val="25"/>
                <w:szCs w:val="25"/>
              </w:rPr>
            </w:pPr>
            <w:r w:rsidRPr="003D090B">
              <w:rPr>
                <w:rFonts w:ascii="Monsserrat" w:hAnsi="Monsserrat"/>
                <w:sz w:val="25"/>
                <w:szCs w:val="25"/>
              </w:rPr>
              <w:t>1.2.4.6.4</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233A98" w14:textId="77777777" w:rsidR="00FD3EAB" w:rsidRPr="003D090B" w:rsidRDefault="00FD3EAB" w:rsidP="00D06175">
            <w:pPr>
              <w:rPr>
                <w:rFonts w:ascii="Monsserrat" w:hAnsi="Monsserrat"/>
                <w:sz w:val="25"/>
                <w:szCs w:val="25"/>
              </w:rPr>
            </w:pPr>
            <w:r w:rsidRPr="003D090B">
              <w:rPr>
                <w:rFonts w:ascii="Monsserrat" w:hAnsi="Monsserrat"/>
                <w:sz w:val="25"/>
                <w:szCs w:val="25"/>
              </w:rPr>
              <w:t>Sistemas de Aire Acondicionado, Calefacción y de Refrigeración Industrial y Comercial</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8BC87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973323"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77AAAEA4"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A0CE2" w14:textId="77777777" w:rsidR="00FD3EAB" w:rsidRPr="003D090B" w:rsidRDefault="00FD3EAB" w:rsidP="00D06175">
            <w:pPr>
              <w:rPr>
                <w:rFonts w:ascii="Monsserrat" w:hAnsi="Monsserrat"/>
                <w:sz w:val="25"/>
                <w:szCs w:val="25"/>
              </w:rPr>
            </w:pPr>
            <w:r w:rsidRPr="003D090B">
              <w:rPr>
                <w:rFonts w:ascii="Monsserrat" w:hAnsi="Monsserrat"/>
                <w:sz w:val="25"/>
                <w:szCs w:val="25"/>
              </w:rPr>
              <w:t>1.2.4.6.5</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7D227A" w14:textId="77777777" w:rsidR="00FD3EAB" w:rsidRPr="003D090B" w:rsidRDefault="00FD3EAB" w:rsidP="00D06175">
            <w:pPr>
              <w:rPr>
                <w:rFonts w:ascii="Monsserrat" w:hAnsi="Monsserrat"/>
                <w:sz w:val="25"/>
                <w:szCs w:val="25"/>
              </w:rPr>
            </w:pPr>
            <w:r w:rsidRPr="003D090B">
              <w:rPr>
                <w:rFonts w:ascii="Monsserrat" w:hAnsi="Monsserrat"/>
                <w:sz w:val="25"/>
                <w:szCs w:val="25"/>
              </w:rPr>
              <w:t>Equipo de Comunicación y Telecomunicación</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A07D23"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ED60E2"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19031BF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FAC309" w14:textId="77777777" w:rsidR="00FD3EAB" w:rsidRPr="003D090B" w:rsidRDefault="00FD3EAB" w:rsidP="00D06175">
            <w:pPr>
              <w:rPr>
                <w:rFonts w:ascii="Monsserrat" w:hAnsi="Monsserrat"/>
                <w:sz w:val="25"/>
                <w:szCs w:val="25"/>
              </w:rPr>
            </w:pPr>
            <w:r w:rsidRPr="003D090B">
              <w:rPr>
                <w:rFonts w:ascii="Monsserrat" w:hAnsi="Monsserrat"/>
                <w:sz w:val="25"/>
                <w:szCs w:val="25"/>
              </w:rPr>
              <w:t>1.2.4.6.</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191B0B" w14:textId="77777777" w:rsidR="00FD3EAB" w:rsidRPr="003D090B" w:rsidRDefault="00FD3EAB" w:rsidP="00D06175">
            <w:pPr>
              <w:rPr>
                <w:rFonts w:ascii="Monsserrat" w:hAnsi="Monsserrat"/>
                <w:sz w:val="25"/>
                <w:szCs w:val="25"/>
              </w:rPr>
            </w:pPr>
            <w:r w:rsidRPr="003D090B">
              <w:rPr>
                <w:rFonts w:ascii="Monsserrat" w:hAnsi="Monsserrat"/>
                <w:sz w:val="25"/>
                <w:szCs w:val="25"/>
              </w:rPr>
              <w:t xml:space="preserve">Equipos de Generación Eléctrica, Aparatos y Accesorios Eléctricos </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2F489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1A42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5C10A9E1"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54F4F4" w14:textId="77777777" w:rsidR="00FD3EAB" w:rsidRPr="003D090B" w:rsidRDefault="00FD3EAB" w:rsidP="00D06175">
            <w:pPr>
              <w:rPr>
                <w:rFonts w:ascii="Monsserrat" w:hAnsi="Monsserrat"/>
                <w:sz w:val="25"/>
                <w:szCs w:val="25"/>
              </w:rPr>
            </w:pP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45F1C9" w14:textId="77777777" w:rsidR="00FD3EAB" w:rsidRPr="003D090B" w:rsidRDefault="00FD3EAB" w:rsidP="00D06175">
            <w:pPr>
              <w:rPr>
                <w:rFonts w:ascii="Monsserrat" w:hAnsi="Monsserrat"/>
                <w:sz w:val="25"/>
                <w:szCs w:val="25"/>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967E2" w14:textId="77777777" w:rsidR="00FD3EAB" w:rsidRPr="003D090B" w:rsidRDefault="00FD3EAB" w:rsidP="00D06175">
            <w:pPr>
              <w:jc w:val="center"/>
              <w:rPr>
                <w:rFonts w:ascii="Monsserrat" w:hAnsi="Monsserrat"/>
                <w:sz w:val="25"/>
                <w:szCs w:val="25"/>
              </w:rPr>
            </w:pP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F34E53" w14:textId="77777777" w:rsidR="00FD3EAB" w:rsidRPr="003D090B" w:rsidRDefault="00FD3EAB" w:rsidP="00D06175">
            <w:pPr>
              <w:jc w:val="center"/>
              <w:rPr>
                <w:rFonts w:ascii="Monsserrat" w:hAnsi="Monsserrat"/>
                <w:sz w:val="25"/>
                <w:szCs w:val="25"/>
              </w:rPr>
            </w:pPr>
          </w:p>
        </w:tc>
      </w:tr>
      <w:tr w:rsidR="00FD3EAB" w:rsidRPr="003D090B" w14:paraId="5F9D1ACD"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213E1" w14:textId="77777777" w:rsidR="00FD3EAB" w:rsidRPr="003D090B" w:rsidRDefault="00FD3EAB" w:rsidP="00D06175">
            <w:pPr>
              <w:rPr>
                <w:rFonts w:ascii="Monsserrat" w:hAnsi="Monsserrat"/>
                <w:sz w:val="25"/>
                <w:szCs w:val="25"/>
              </w:rPr>
            </w:pPr>
            <w:r w:rsidRPr="003D090B">
              <w:rPr>
                <w:rFonts w:ascii="Monsserrat" w:hAnsi="Monsserrat"/>
                <w:sz w:val="25"/>
                <w:szCs w:val="25"/>
              </w:rPr>
              <w:t>1.2.4.6.7</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D14AE0" w14:textId="77777777" w:rsidR="00FD3EAB" w:rsidRPr="003D090B" w:rsidRDefault="00FD3EAB" w:rsidP="00D06175">
            <w:pPr>
              <w:rPr>
                <w:rFonts w:ascii="Monsserrat" w:hAnsi="Monsserrat"/>
                <w:sz w:val="25"/>
                <w:szCs w:val="25"/>
              </w:rPr>
            </w:pPr>
            <w:r w:rsidRPr="003D090B">
              <w:rPr>
                <w:rFonts w:ascii="Monsserrat" w:hAnsi="Monsserrat"/>
                <w:sz w:val="25"/>
                <w:szCs w:val="25"/>
              </w:rPr>
              <w:t xml:space="preserve">Herramientas y Máquinas-Herramienta </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322654"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F52BC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2E9CE8D4"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A1C71" w14:textId="77777777" w:rsidR="00FD3EAB" w:rsidRPr="003D090B" w:rsidRDefault="00FD3EAB" w:rsidP="00D06175">
            <w:pPr>
              <w:rPr>
                <w:rFonts w:ascii="Monsserrat" w:hAnsi="Monsserrat"/>
                <w:sz w:val="25"/>
                <w:szCs w:val="25"/>
              </w:rPr>
            </w:pPr>
            <w:r w:rsidRPr="003D090B">
              <w:rPr>
                <w:rFonts w:ascii="Monsserrat" w:hAnsi="Monsserrat"/>
                <w:sz w:val="25"/>
                <w:szCs w:val="25"/>
              </w:rPr>
              <w:t>1.2.4.6.9</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C1D917" w14:textId="77777777" w:rsidR="00FD3EAB" w:rsidRPr="003D090B" w:rsidRDefault="00FD3EAB" w:rsidP="00D06175">
            <w:pPr>
              <w:rPr>
                <w:rFonts w:ascii="Monsserrat" w:hAnsi="Monsserrat"/>
                <w:sz w:val="25"/>
                <w:szCs w:val="25"/>
              </w:rPr>
            </w:pPr>
            <w:r w:rsidRPr="003D090B">
              <w:rPr>
                <w:rFonts w:ascii="Monsserrat" w:hAnsi="Monsserrat"/>
                <w:sz w:val="25"/>
                <w:szCs w:val="25"/>
              </w:rPr>
              <w:t>Otros Equipos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B2307B"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AB273"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10</w:t>
            </w:r>
          </w:p>
        </w:tc>
      </w:tr>
      <w:tr w:rsidR="00FD3EAB" w:rsidRPr="003D090B" w14:paraId="1065231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9CDB04" w14:textId="77777777" w:rsidR="00FD3EAB" w:rsidRPr="003D090B" w:rsidRDefault="00FD3EAB" w:rsidP="00D06175">
            <w:pPr>
              <w:rPr>
                <w:rFonts w:ascii="Monsserrat" w:hAnsi="Monsserrat"/>
                <w:sz w:val="25"/>
                <w:szCs w:val="25"/>
              </w:rPr>
            </w:pPr>
            <w:r w:rsidRPr="003D090B">
              <w:rPr>
                <w:rFonts w:ascii="Monsserrat" w:hAnsi="Monsserrat"/>
                <w:sz w:val="25"/>
                <w:szCs w:val="25"/>
              </w:rPr>
              <w:t>1.2.4.8</w:t>
            </w:r>
          </w:p>
        </w:tc>
        <w:tc>
          <w:tcPr>
            <w:tcW w:w="74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208B05AB" w14:textId="77777777" w:rsidR="00FD3EAB" w:rsidRPr="003D090B" w:rsidRDefault="00FD3EAB" w:rsidP="00D06175">
            <w:pPr>
              <w:rPr>
                <w:rFonts w:ascii="Monsserrat" w:hAnsi="Monsserrat"/>
                <w:sz w:val="25"/>
                <w:szCs w:val="25"/>
              </w:rPr>
            </w:pPr>
            <w:r w:rsidRPr="003D090B">
              <w:rPr>
                <w:rFonts w:ascii="Monsserrat" w:hAnsi="Monsserrat"/>
                <w:sz w:val="25"/>
                <w:szCs w:val="25"/>
              </w:rPr>
              <w:t>Activos Biológicos</w:t>
            </w:r>
          </w:p>
        </w:tc>
      </w:tr>
      <w:tr w:rsidR="00FD3EAB" w:rsidRPr="003D090B" w14:paraId="62DFF885"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0055D8" w14:textId="77777777" w:rsidR="00FD3EAB" w:rsidRPr="003D090B" w:rsidRDefault="00FD3EAB" w:rsidP="00D06175">
            <w:pPr>
              <w:rPr>
                <w:rFonts w:ascii="Monsserrat" w:hAnsi="Monsserrat"/>
                <w:sz w:val="25"/>
                <w:szCs w:val="25"/>
              </w:rPr>
            </w:pPr>
            <w:r w:rsidRPr="003D090B">
              <w:rPr>
                <w:rFonts w:ascii="Monsserrat" w:hAnsi="Monsserrat"/>
                <w:sz w:val="25"/>
                <w:szCs w:val="25"/>
              </w:rPr>
              <w:t>1.2.4.8.1</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E9F831" w14:textId="77777777" w:rsidR="00FD3EAB" w:rsidRPr="003D090B" w:rsidRDefault="00FD3EAB" w:rsidP="00D06175">
            <w:pPr>
              <w:rPr>
                <w:rFonts w:ascii="Monsserrat" w:hAnsi="Monsserrat"/>
                <w:sz w:val="25"/>
                <w:szCs w:val="25"/>
              </w:rPr>
            </w:pPr>
            <w:r w:rsidRPr="003D090B">
              <w:rPr>
                <w:rFonts w:ascii="Monsserrat" w:hAnsi="Monsserrat"/>
                <w:sz w:val="25"/>
                <w:szCs w:val="25"/>
              </w:rPr>
              <w:t>Bovinos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E33689"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AFEB3A"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21B1949F"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4DE819" w14:textId="77777777" w:rsidR="00FD3EAB" w:rsidRPr="003D090B" w:rsidRDefault="00FD3EAB" w:rsidP="00D06175">
            <w:pPr>
              <w:rPr>
                <w:rFonts w:ascii="Monsserrat" w:hAnsi="Monsserrat"/>
                <w:sz w:val="25"/>
                <w:szCs w:val="25"/>
              </w:rPr>
            </w:pPr>
            <w:r w:rsidRPr="003D090B">
              <w:rPr>
                <w:rFonts w:ascii="Monsserrat" w:hAnsi="Monsserrat"/>
                <w:sz w:val="25"/>
                <w:szCs w:val="25"/>
              </w:rPr>
              <w:t>1.2.4.8.2</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CDE27E" w14:textId="77777777" w:rsidR="00FD3EAB" w:rsidRPr="003D090B" w:rsidRDefault="00FD3EAB" w:rsidP="00D06175">
            <w:pPr>
              <w:rPr>
                <w:rFonts w:ascii="Monsserrat" w:hAnsi="Monsserrat"/>
                <w:sz w:val="25"/>
                <w:szCs w:val="25"/>
              </w:rPr>
            </w:pPr>
            <w:r w:rsidRPr="003D090B">
              <w:rPr>
                <w:rFonts w:ascii="Monsserrat" w:hAnsi="Monsserrat"/>
                <w:sz w:val="25"/>
                <w:szCs w:val="25"/>
              </w:rPr>
              <w:t>Porcinos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76ECB0"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6311E1"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53C3B86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9F4DDC" w14:textId="77777777" w:rsidR="00FD3EAB" w:rsidRPr="003D090B" w:rsidRDefault="00FD3EAB" w:rsidP="00D06175">
            <w:pPr>
              <w:rPr>
                <w:rFonts w:ascii="Monsserrat" w:hAnsi="Monsserrat"/>
                <w:sz w:val="25"/>
                <w:szCs w:val="25"/>
              </w:rPr>
            </w:pPr>
            <w:r w:rsidRPr="003D090B">
              <w:rPr>
                <w:rFonts w:ascii="Monsserrat" w:hAnsi="Monsserrat"/>
                <w:sz w:val="25"/>
                <w:szCs w:val="25"/>
              </w:rPr>
              <w:t>1.2.4.8.3</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7AD04E" w14:textId="77777777" w:rsidR="00FD3EAB" w:rsidRPr="003D090B" w:rsidRDefault="00FD3EAB" w:rsidP="00D06175">
            <w:pPr>
              <w:rPr>
                <w:rFonts w:ascii="Monsserrat" w:hAnsi="Monsserrat"/>
                <w:sz w:val="25"/>
                <w:szCs w:val="25"/>
              </w:rPr>
            </w:pPr>
            <w:r w:rsidRPr="003D090B">
              <w:rPr>
                <w:rFonts w:ascii="Monsserrat" w:hAnsi="Monsserrat"/>
                <w:sz w:val="25"/>
                <w:szCs w:val="25"/>
              </w:rPr>
              <w:t>Aves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9622F1"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752E4"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19FE3E41"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868E35" w14:textId="77777777" w:rsidR="00FD3EAB" w:rsidRPr="003D090B" w:rsidRDefault="00FD3EAB" w:rsidP="00D06175">
            <w:pPr>
              <w:rPr>
                <w:rFonts w:ascii="Monsserrat" w:hAnsi="Monsserrat"/>
                <w:sz w:val="25"/>
                <w:szCs w:val="25"/>
              </w:rPr>
            </w:pPr>
            <w:r w:rsidRPr="003D090B">
              <w:rPr>
                <w:rFonts w:ascii="Monsserrat" w:hAnsi="Monsserrat"/>
                <w:sz w:val="25"/>
                <w:szCs w:val="25"/>
              </w:rPr>
              <w:t>1.2.4.8.4</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0A369C" w14:textId="77777777" w:rsidR="00FD3EAB" w:rsidRPr="003D090B" w:rsidRDefault="00FD3EAB" w:rsidP="00D06175">
            <w:pPr>
              <w:rPr>
                <w:rFonts w:ascii="Monsserrat" w:hAnsi="Monsserrat"/>
                <w:sz w:val="25"/>
                <w:szCs w:val="25"/>
              </w:rPr>
            </w:pPr>
            <w:r w:rsidRPr="003D090B">
              <w:rPr>
                <w:rFonts w:ascii="Monsserrat" w:hAnsi="Monsserrat"/>
                <w:sz w:val="25"/>
                <w:szCs w:val="25"/>
              </w:rPr>
              <w:t>Ovinos y Caprinos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DDD0B7"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9CF8B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1DE1A2F7"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A6F8D0" w14:textId="77777777" w:rsidR="00FD3EAB" w:rsidRPr="003D090B" w:rsidRDefault="00FD3EAB" w:rsidP="00D06175">
            <w:pPr>
              <w:rPr>
                <w:rFonts w:ascii="Monsserrat" w:hAnsi="Monsserrat"/>
                <w:sz w:val="25"/>
                <w:szCs w:val="25"/>
              </w:rPr>
            </w:pPr>
            <w:r w:rsidRPr="003D090B">
              <w:rPr>
                <w:rFonts w:ascii="Monsserrat" w:hAnsi="Monsserrat"/>
                <w:sz w:val="25"/>
                <w:szCs w:val="25"/>
              </w:rPr>
              <w:t>1.2.4.8.5</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A41C0E" w14:textId="77777777" w:rsidR="00FD3EAB" w:rsidRPr="003D090B" w:rsidRDefault="00FD3EAB" w:rsidP="00D06175">
            <w:pPr>
              <w:rPr>
                <w:rFonts w:ascii="Monsserrat" w:hAnsi="Monsserrat"/>
                <w:sz w:val="25"/>
                <w:szCs w:val="25"/>
              </w:rPr>
            </w:pPr>
            <w:r w:rsidRPr="003D090B">
              <w:rPr>
                <w:rFonts w:ascii="Monsserrat" w:hAnsi="Monsserrat"/>
                <w:sz w:val="25"/>
                <w:szCs w:val="25"/>
              </w:rPr>
              <w:t>Peces y Acuicultura</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50C6B"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4A3BB7"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0E5701D8"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59C25" w14:textId="77777777" w:rsidR="00FD3EAB" w:rsidRPr="003D090B" w:rsidRDefault="00FD3EAB" w:rsidP="00D06175">
            <w:pPr>
              <w:rPr>
                <w:rFonts w:ascii="Monsserrat" w:hAnsi="Monsserrat"/>
                <w:sz w:val="25"/>
                <w:szCs w:val="25"/>
              </w:rPr>
            </w:pPr>
            <w:r w:rsidRPr="003D090B">
              <w:rPr>
                <w:rFonts w:ascii="Monsserrat" w:hAnsi="Monsserrat"/>
                <w:sz w:val="25"/>
                <w:szCs w:val="25"/>
              </w:rPr>
              <w:t>1.2.4.8.6</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B41D0B" w14:textId="77777777" w:rsidR="00FD3EAB" w:rsidRPr="003D090B" w:rsidRDefault="00FD3EAB" w:rsidP="00D06175">
            <w:pPr>
              <w:rPr>
                <w:rFonts w:ascii="Monsserrat" w:hAnsi="Monsserrat"/>
                <w:sz w:val="25"/>
                <w:szCs w:val="25"/>
              </w:rPr>
            </w:pPr>
            <w:r w:rsidRPr="003D090B">
              <w:rPr>
                <w:rFonts w:ascii="Monsserrat" w:hAnsi="Monsserrat"/>
                <w:sz w:val="25"/>
                <w:szCs w:val="25"/>
              </w:rPr>
              <w:t>Equinos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B148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F373E"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11449D0A"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EE776A" w14:textId="77777777" w:rsidR="00FD3EAB" w:rsidRPr="003D090B" w:rsidRDefault="00FD3EAB" w:rsidP="00D06175">
            <w:pPr>
              <w:rPr>
                <w:rFonts w:ascii="Monsserrat" w:hAnsi="Monsserrat"/>
                <w:sz w:val="25"/>
                <w:szCs w:val="25"/>
              </w:rPr>
            </w:pPr>
            <w:r w:rsidRPr="003D090B">
              <w:rPr>
                <w:rFonts w:ascii="Monsserrat" w:hAnsi="Monsserrat"/>
                <w:sz w:val="25"/>
                <w:szCs w:val="25"/>
              </w:rPr>
              <w:t>1.2.4.8.7</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7E879" w14:textId="77777777" w:rsidR="00FD3EAB" w:rsidRPr="003D090B" w:rsidRDefault="00FD3EAB" w:rsidP="00D06175">
            <w:pPr>
              <w:rPr>
                <w:rFonts w:ascii="Monsserrat" w:hAnsi="Monsserrat"/>
                <w:sz w:val="25"/>
                <w:szCs w:val="25"/>
              </w:rPr>
            </w:pPr>
            <w:r w:rsidRPr="003D090B">
              <w:rPr>
                <w:rFonts w:ascii="Monsserrat" w:hAnsi="Monsserrat"/>
                <w:sz w:val="25"/>
                <w:szCs w:val="25"/>
              </w:rPr>
              <w:t>Especies Menores y de Zoológico</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4E4CB6"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1CB65"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379112FE"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4936B8" w14:textId="77777777" w:rsidR="00FD3EAB" w:rsidRPr="003D090B" w:rsidRDefault="00FD3EAB" w:rsidP="00D06175">
            <w:pPr>
              <w:rPr>
                <w:rFonts w:ascii="Monsserrat" w:hAnsi="Monsserrat"/>
                <w:sz w:val="25"/>
                <w:szCs w:val="25"/>
              </w:rPr>
            </w:pPr>
            <w:r w:rsidRPr="003D090B">
              <w:rPr>
                <w:rFonts w:ascii="Monsserrat" w:hAnsi="Monsserrat"/>
                <w:sz w:val="25"/>
                <w:szCs w:val="25"/>
              </w:rPr>
              <w:t xml:space="preserve">1.2.4.8.8 </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4D927" w14:textId="77777777" w:rsidR="00FD3EAB" w:rsidRPr="003D090B" w:rsidRDefault="00FD3EAB" w:rsidP="00D06175">
            <w:pPr>
              <w:rPr>
                <w:rFonts w:ascii="Monsserrat" w:hAnsi="Monsserrat"/>
                <w:sz w:val="25"/>
                <w:szCs w:val="25"/>
              </w:rPr>
            </w:pPr>
            <w:r w:rsidRPr="003D090B">
              <w:rPr>
                <w:rFonts w:ascii="Monsserrat" w:hAnsi="Monsserrat"/>
                <w:sz w:val="25"/>
                <w:szCs w:val="25"/>
              </w:rPr>
              <w:t>Árboles y Plantas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CBA2B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2EB98C"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r w:rsidR="00FD3EAB" w:rsidRPr="003D090B" w14:paraId="6DF3CC1E" w14:textId="77777777" w:rsidTr="003D090B">
        <w:trPr>
          <w:trHeight w:val="20"/>
          <w:jc w:val="center"/>
        </w:trPr>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9259A9" w14:textId="77777777" w:rsidR="00FD3EAB" w:rsidRPr="003D090B" w:rsidRDefault="00FD3EAB" w:rsidP="00D06175">
            <w:pPr>
              <w:rPr>
                <w:rFonts w:ascii="Monsserrat" w:hAnsi="Monsserrat"/>
                <w:sz w:val="25"/>
                <w:szCs w:val="25"/>
              </w:rPr>
            </w:pPr>
            <w:r w:rsidRPr="003D090B">
              <w:rPr>
                <w:rFonts w:ascii="Monsserrat" w:hAnsi="Monsserrat"/>
                <w:sz w:val="25"/>
                <w:szCs w:val="25"/>
              </w:rPr>
              <w:lastRenderedPageBreak/>
              <w:t>1.2.4.8.9</w:t>
            </w:r>
          </w:p>
        </w:tc>
        <w:tc>
          <w:tcPr>
            <w:tcW w:w="443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869BDC" w14:textId="77777777" w:rsidR="00FD3EAB" w:rsidRPr="003D090B" w:rsidRDefault="00FD3EAB" w:rsidP="00D06175">
            <w:pPr>
              <w:rPr>
                <w:rFonts w:ascii="Monsserrat" w:hAnsi="Monsserrat"/>
                <w:sz w:val="25"/>
                <w:szCs w:val="25"/>
              </w:rPr>
            </w:pPr>
            <w:r w:rsidRPr="003D090B">
              <w:rPr>
                <w:rFonts w:ascii="Monsserrat" w:hAnsi="Monsserrat"/>
                <w:sz w:val="25"/>
                <w:szCs w:val="25"/>
              </w:rPr>
              <w:t>Otros Activos Biológicos</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161D3D"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5</w:t>
            </w:r>
          </w:p>
        </w:tc>
        <w:tc>
          <w:tcPr>
            <w:tcW w:w="164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6C9097" w14:textId="77777777" w:rsidR="00FD3EAB" w:rsidRPr="003D090B" w:rsidRDefault="00FD3EAB" w:rsidP="00D06175">
            <w:pPr>
              <w:jc w:val="center"/>
              <w:rPr>
                <w:rFonts w:ascii="Monsserrat" w:hAnsi="Monsserrat"/>
                <w:sz w:val="25"/>
                <w:szCs w:val="25"/>
              </w:rPr>
            </w:pPr>
            <w:r w:rsidRPr="003D090B">
              <w:rPr>
                <w:rFonts w:ascii="Monsserrat" w:hAnsi="Monsserrat"/>
                <w:sz w:val="25"/>
                <w:szCs w:val="25"/>
              </w:rPr>
              <w:t>20</w:t>
            </w:r>
          </w:p>
        </w:tc>
      </w:tr>
    </w:tbl>
    <w:p w14:paraId="3CEA7DE1" w14:textId="77777777" w:rsidR="00FD3EAB" w:rsidRPr="003D090B" w:rsidRDefault="00FD3EAB" w:rsidP="00FD3EAB">
      <w:pPr>
        <w:rPr>
          <w:rFonts w:ascii="Monsserrat" w:hAnsi="Monsserrat"/>
          <w:sz w:val="25"/>
          <w:szCs w:val="25"/>
        </w:rPr>
      </w:pPr>
    </w:p>
    <w:p w14:paraId="0AEBF8A2"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9. Fideicomisos, Mandatos y Análogos.</w:t>
      </w:r>
    </w:p>
    <w:p w14:paraId="19AE14CD" w14:textId="77777777" w:rsidR="00FD3EAB" w:rsidRPr="003D090B" w:rsidRDefault="00FD3EAB" w:rsidP="00FD3EAB">
      <w:pPr>
        <w:spacing w:after="280"/>
        <w:jc w:val="both"/>
        <w:rPr>
          <w:rFonts w:ascii="Monsserrat" w:hAnsi="Monsserrat"/>
          <w:sz w:val="25"/>
          <w:szCs w:val="25"/>
        </w:rPr>
      </w:pPr>
      <w:r w:rsidRPr="003D090B">
        <w:rPr>
          <w:rFonts w:ascii="Monsserrat" w:hAnsi="Monsserrat"/>
          <w:sz w:val="25"/>
          <w:szCs w:val="25"/>
        </w:rPr>
        <w:t>A la fecha contamos con dos Fideicomisos de mayor relevancia dentro de la estructura gubernamental:</w:t>
      </w:r>
    </w:p>
    <w:p w14:paraId="4660CDEB" w14:textId="77777777" w:rsidR="00FD3EAB" w:rsidRPr="003D090B" w:rsidRDefault="00FD3EAB" w:rsidP="00FD3EAB">
      <w:pPr>
        <w:numPr>
          <w:ilvl w:val="0"/>
          <w:numId w:val="15"/>
        </w:numPr>
        <w:pBdr>
          <w:top w:val="nil"/>
          <w:left w:val="nil"/>
          <w:bottom w:val="nil"/>
          <w:right w:val="nil"/>
          <w:between w:val="nil"/>
        </w:pBdr>
        <w:spacing w:before="280"/>
        <w:jc w:val="both"/>
        <w:rPr>
          <w:rFonts w:ascii="Monsserrat" w:hAnsi="Monsserrat"/>
          <w:color w:val="000000"/>
          <w:sz w:val="25"/>
          <w:szCs w:val="25"/>
        </w:rPr>
      </w:pPr>
      <w:r w:rsidRPr="003D090B">
        <w:rPr>
          <w:rFonts w:ascii="Monsserrat" w:hAnsi="Monsserrat"/>
          <w:color w:val="000000"/>
          <w:sz w:val="25"/>
          <w:szCs w:val="25"/>
        </w:rPr>
        <w:t xml:space="preserve">Fideicomiso para el Desarrollo Logístico del Estado de Oaxaca </w:t>
      </w:r>
    </w:p>
    <w:p w14:paraId="0AC89B39" w14:textId="77777777" w:rsidR="00FD3EAB" w:rsidRPr="003D090B" w:rsidRDefault="00FD3EAB" w:rsidP="00FD3EAB">
      <w:pPr>
        <w:numPr>
          <w:ilvl w:val="0"/>
          <w:numId w:val="15"/>
        </w:numPr>
        <w:pBdr>
          <w:top w:val="nil"/>
          <w:left w:val="nil"/>
          <w:bottom w:val="nil"/>
          <w:right w:val="nil"/>
          <w:between w:val="nil"/>
        </w:pBdr>
        <w:jc w:val="both"/>
        <w:rPr>
          <w:rFonts w:ascii="Monsserrat" w:hAnsi="Monsserrat"/>
          <w:color w:val="000000"/>
          <w:sz w:val="25"/>
          <w:szCs w:val="25"/>
        </w:rPr>
      </w:pPr>
      <w:r w:rsidRPr="003D090B">
        <w:rPr>
          <w:rFonts w:ascii="Monsserrat" w:hAnsi="Monsserrat"/>
          <w:color w:val="000000"/>
          <w:sz w:val="25"/>
          <w:szCs w:val="25"/>
        </w:rPr>
        <w:t>Fideicomiso de Fomento para el Estado de Oaxaca</w:t>
      </w:r>
    </w:p>
    <w:p w14:paraId="053C9C65" w14:textId="062F8952" w:rsidR="00FD3EAB" w:rsidRPr="003D090B" w:rsidRDefault="00FD3EAB" w:rsidP="00A9146D">
      <w:pPr>
        <w:numPr>
          <w:ilvl w:val="0"/>
          <w:numId w:val="15"/>
        </w:numPr>
        <w:pBdr>
          <w:top w:val="nil"/>
          <w:left w:val="nil"/>
          <w:bottom w:val="nil"/>
          <w:right w:val="nil"/>
          <w:between w:val="nil"/>
        </w:pBdr>
        <w:spacing w:after="280"/>
        <w:jc w:val="both"/>
        <w:rPr>
          <w:rFonts w:ascii="Monsserrat" w:hAnsi="Monsserrat"/>
          <w:color w:val="000000"/>
          <w:sz w:val="25"/>
          <w:szCs w:val="25"/>
        </w:rPr>
      </w:pPr>
      <w:r w:rsidRPr="003D090B">
        <w:rPr>
          <w:rFonts w:ascii="Monsserrat" w:hAnsi="Monsserrat"/>
          <w:color w:val="000000"/>
          <w:sz w:val="25"/>
          <w:szCs w:val="25"/>
        </w:rPr>
        <w:t>Oficina de Convenciones y Visitantes de Oaxaca “OCV Oaxaca”</w:t>
      </w:r>
    </w:p>
    <w:p w14:paraId="7DCE2039" w14:textId="77777777" w:rsidR="003D090B" w:rsidRDefault="00FD3EAB" w:rsidP="003D090B">
      <w:pPr>
        <w:spacing w:before="280"/>
        <w:rPr>
          <w:rFonts w:ascii="Monsserrat" w:hAnsi="Monsserrat"/>
          <w:b/>
          <w:sz w:val="25"/>
          <w:szCs w:val="25"/>
        </w:rPr>
      </w:pPr>
      <w:r w:rsidRPr="003D090B">
        <w:rPr>
          <w:rFonts w:ascii="Monsserrat" w:hAnsi="Monsserrat"/>
          <w:b/>
          <w:sz w:val="25"/>
          <w:szCs w:val="25"/>
        </w:rPr>
        <w:t>10. Reporte de la Recaudación</w:t>
      </w:r>
    </w:p>
    <w:p w14:paraId="439540D9" w14:textId="67B74B3C" w:rsidR="00FD3EAB" w:rsidRPr="003D090B" w:rsidRDefault="00FD3EAB" w:rsidP="003D090B">
      <w:pPr>
        <w:spacing w:before="280"/>
        <w:rPr>
          <w:rFonts w:ascii="Monsserrat" w:hAnsi="Monsserrat"/>
          <w:sz w:val="25"/>
          <w:szCs w:val="25"/>
        </w:rPr>
      </w:pPr>
      <w:r w:rsidRPr="003D090B">
        <w:rPr>
          <w:rFonts w:ascii="Monsserrat" w:hAnsi="Monsserrat"/>
          <w:noProof/>
          <w:sz w:val="25"/>
          <w:szCs w:val="25"/>
          <w:lang w:val="es-MX"/>
        </w:rPr>
        <w:drawing>
          <wp:inline distT="0" distB="0" distL="0" distR="0" wp14:anchorId="15FDE160" wp14:editId="172A009F">
            <wp:extent cx="5181600" cy="502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642" cy="5034094"/>
                    </a:xfrm>
                    <a:prstGeom prst="rect">
                      <a:avLst/>
                    </a:prstGeom>
                    <a:noFill/>
                    <a:ln>
                      <a:noFill/>
                    </a:ln>
                  </pic:spPr>
                </pic:pic>
              </a:graphicData>
            </a:graphic>
          </wp:inline>
        </w:drawing>
      </w:r>
    </w:p>
    <w:p w14:paraId="4FE5A291" w14:textId="77777777" w:rsidR="00FD3EAB" w:rsidRPr="003D090B" w:rsidRDefault="00FD3EAB" w:rsidP="00FD3EAB">
      <w:pPr>
        <w:rPr>
          <w:rFonts w:ascii="Monsserrat" w:hAnsi="Monsserrat"/>
          <w:b/>
          <w:sz w:val="25"/>
          <w:szCs w:val="25"/>
        </w:rPr>
      </w:pPr>
    </w:p>
    <w:p w14:paraId="5BFF5C15" w14:textId="77777777" w:rsidR="00FD3EAB" w:rsidRPr="003D090B" w:rsidRDefault="00FD3EAB" w:rsidP="00FD3EAB">
      <w:pPr>
        <w:rPr>
          <w:rFonts w:ascii="Monsserrat" w:hAnsi="Monsserrat"/>
          <w:b/>
          <w:sz w:val="25"/>
          <w:szCs w:val="25"/>
        </w:rPr>
      </w:pPr>
      <w:r w:rsidRPr="003D090B">
        <w:rPr>
          <w:rFonts w:ascii="Monsserrat" w:hAnsi="Monsserrat"/>
          <w:b/>
          <w:sz w:val="25"/>
          <w:szCs w:val="25"/>
        </w:rPr>
        <w:lastRenderedPageBreak/>
        <w:t>11. Información y Reporte Analítico de la Deuda Pública</w:t>
      </w:r>
    </w:p>
    <w:p w14:paraId="6E7C7761" w14:textId="77777777" w:rsidR="00FD3EAB" w:rsidRPr="003D090B" w:rsidRDefault="00FD3EAB" w:rsidP="00FD3EAB">
      <w:pPr>
        <w:rPr>
          <w:rFonts w:ascii="Monsserrat" w:hAnsi="Monsserrat"/>
          <w:b/>
          <w:sz w:val="25"/>
          <w:szCs w:val="25"/>
        </w:rPr>
      </w:pPr>
    </w:p>
    <w:tbl>
      <w:tblPr>
        <w:tblW w:w="9747" w:type="dxa"/>
        <w:tblLayout w:type="fixed"/>
        <w:tblLook w:val="0400" w:firstRow="0" w:lastRow="0" w:firstColumn="0" w:lastColumn="0" w:noHBand="0" w:noVBand="1"/>
      </w:tblPr>
      <w:tblGrid>
        <w:gridCol w:w="1951"/>
        <w:gridCol w:w="1559"/>
        <w:gridCol w:w="1560"/>
        <w:gridCol w:w="1559"/>
        <w:gridCol w:w="1559"/>
        <w:gridCol w:w="1559"/>
      </w:tblGrid>
      <w:tr w:rsidR="0010188D" w:rsidRPr="003D090B" w14:paraId="18B819D3" w14:textId="77777777" w:rsidTr="0010188D">
        <w:trPr>
          <w:trHeight w:val="247"/>
        </w:trPr>
        <w:tc>
          <w:tcPr>
            <w:tcW w:w="195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7FCB7B4"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Año</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75204AC8"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2018</w:t>
            </w:r>
          </w:p>
        </w:tc>
        <w:tc>
          <w:tcPr>
            <w:tcW w:w="1560" w:type="dxa"/>
            <w:tcBorders>
              <w:top w:val="single" w:sz="8" w:space="0" w:color="000000"/>
              <w:left w:val="nil"/>
              <w:bottom w:val="single" w:sz="8" w:space="0" w:color="000000"/>
              <w:right w:val="single" w:sz="8" w:space="0" w:color="000000"/>
            </w:tcBorders>
            <w:shd w:val="clear" w:color="auto" w:fill="D9D9D9"/>
            <w:vAlign w:val="center"/>
          </w:tcPr>
          <w:p w14:paraId="72E1C50D"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2019</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5A51813A"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2020</w:t>
            </w:r>
          </w:p>
        </w:tc>
        <w:tc>
          <w:tcPr>
            <w:tcW w:w="1559" w:type="dxa"/>
            <w:tcBorders>
              <w:top w:val="single" w:sz="8" w:space="0" w:color="000000"/>
              <w:left w:val="nil"/>
              <w:bottom w:val="single" w:sz="8" w:space="0" w:color="000000"/>
              <w:right w:val="single" w:sz="8" w:space="0" w:color="000000"/>
            </w:tcBorders>
            <w:shd w:val="clear" w:color="auto" w:fill="D9D9D9"/>
            <w:vAlign w:val="center"/>
          </w:tcPr>
          <w:p w14:paraId="03D77181"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2021</w:t>
            </w:r>
          </w:p>
        </w:tc>
        <w:tc>
          <w:tcPr>
            <w:tcW w:w="1559" w:type="dxa"/>
            <w:tcBorders>
              <w:top w:val="single" w:sz="8" w:space="0" w:color="000000"/>
              <w:left w:val="nil"/>
              <w:bottom w:val="single" w:sz="8" w:space="0" w:color="000000"/>
              <w:right w:val="single" w:sz="8" w:space="0" w:color="000000"/>
            </w:tcBorders>
            <w:shd w:val="clear" w:color="auto" w:fill="D9D9D9"/>
          </w:tcPr>
          <w:p w14:paraId="7B2A16C2"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2022</w:t>
            </w:r>
          </w:p>
        </w:tc>
      </w:tr>
      <w:tr w:rsidR="0010188D" w:rsidRPr="003D090B" w14:paraId="23BC6674"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69C3652D" w14:textId="77777777" w:rsidR="00FD3EAB" w:rsidRPr="003D090B" w:rsidRDefault="00FD3EAB" w:rsidP="00D06175">
            <w:pPr>
              <w:rPr>
                <w:rFonts w:ascii="Monsserrat" w:hAnsi="Monsserrat"/>
                <w:color w:val="000000"/>
                <w:sz w:val="20"/>
                <w:szCs w:val="20"/>
              </w:rPr>
            </w:pPr>
            <w:r w:rsidRPr="003D090B">
              <w:rPr>
                <w:rFonts w:ascii="Monsserrat" w:hAnsi="Monsserrat"/>
                <w:color w:val="000000"/>
                <w:sz w:val="20"/>
                <w:szCs w:val="20"/>
              </w:rPr>
              <w:t xml:space="preserve">Saldo de la Deuda </w:t>
            </w:r>
          </w:p>
        </w:tc>
        <w:tc>
          <w:tcPr>
            <w:tcW w:w="1559" w:type="dxa"/>
            <w:tcBorders>
              <w:top w:val="nil"/>
              <w:left w:val="nil"/>
              <w:bottom w:val="single" w:sz="8" w:space="0" w:color="000000"/>
              <w:right w:val="single" w:sz="8" w:space="0" w:color="000000"/>
            </w:tcBorders>
            <w:shd w:val="clear" w:color="auto" w:fill="FFFFFF"/>
            <w:vAlign w:val="center"/>
          </w:tcPr>
          <w:p w14:paraId="080D7207"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9,414,995,104</w:t>
            </w:r>
          </w:p>
        </w:tc>
        <w:tc>
          <w:tcPr>
            <w:tcW w:w="1560" w:type="dxa"/>
            <w:tcBorders>
              <w:top w:val="nil"/>
              <w:left w:val="nil"/>
              <w:bottom w:val="single" w:sz="8" w:space="0" w:color="000000"/>
              <w:right w:val="single" w:sz="8" w:space="0" w:color="000000"/>
            </w:tcBorders>
            <w:shd w:val="clear" w:color="auto" w:fill="FFFFFF"/>
            <w:vAlign w:val="center"/>
          </w:tcPr>
          <w:p w14:paraId="06DC21A1"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12,767,230,282</w:t>
            </w:r>
          </w:p>
        </w:tc>
        <w:tc>
          <w:tcPr>
            <w:tcW w:w="1559" w:type="dxa"/>
            <w:tcBorders>
              <w:top w:val="nil"/>
              <w:left w:val="nil"/>
              <w:bottom w:val="single" w:sz="8" w:space="0" w:color="000000"/>
              <w:right w:val="single" w:sz="8" w:space="0" w:color="000000"/>
            </w:tcBorders>
            <w:shd w:val="clear" w:color="auto" w:fill="FFFFFF"/>
            <w:vAlign w:val="center"/>
          </w:tcPr>
          <w:p w14:paraId="4602E1F9"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12,680,006,953</w:t>
            </w:r>
          </w:p>
        </w:tc>
        <w:tc>
          <w:tcPr>
            <w:tcW w:w="1559" w:type="dxa"/>
            <w:tcBorders>
              <w:top w:val="nil"/>
              <w:left w:val="nil"/>
              <w:bottom w:val="single" w:sz="8" w:space="0" w:color="000000"/>
              <w:right w:val="single" w:sz="8" w:space="0" w:color="000000"/>
            </w:tcBorders>
            <w:shd w:val="clear" w:color="auto" w:fill="FFFFFF"/>
            <w:vAlign w:val="center"/>
          </w:tcPr>
          <w:p w14:paraId="77A3E80B"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14,487,814,650</w:t>
            </w:r>
          </w:p>
        </w:tc>
        <w:tc>
          <w:tcPr>
            <w:tcW w:w="1559" w:type="dxa"/>
            <w:tcBorders>
              <w:top w:val="nil"/>
              <w:left w:val="nil"/>
              <w:bottom w:val="single" w:sz="8" w:space="0" w:color="000000"/>
              <w:right w:val="single" w:sz="8" w:space="0" w:color="000000"/>
            </w:tcBorders>
            <w:shd w:val="clear" w:color="auto" w:fill="FFFFFF"/>
            <w:vAlign w:val="center"/>
          </w:tcPr>
          <w:p w14:paraId="6609DEFC" w14:textId="77777777" w:rsidR="00FD3EAB" w:rsidRPr="003D090B" w:rsidRDefault="00FD3EAB" w:rsidP="00D06175">
            <w:pPr>
              <w:jc w:val="center"/>
              <w:rPr>
                <w:rFonts w:ascii="Monsserrat" w:hAnsi="Monsserrat"/>
                <w:b/>
                <w:color w:val="000000"/>
                <w:sz w:val="20"/>
                <w:szCs w:val="20"/>
              </w:rPr>
            </w:pPr>
            <w:r w:rsidRPr="003D090B">
              <w:rPr>
                <w:rFonts w:ascii="Monsserrat" w:hAnsi="Monsserrat"/>
                <w:color w:val="000000"/>
                <w:sz w:val="20"/>
                <w:szCs w:val="20"/>
              </w:rPr>
              <w:t>14,487,814,650</w:t>
            </w:r>
          </w:p>
        </w:tc>
      </w:tr>
      <w:tr w:rsidR="0010188D" w:rsidRPr="003D090B" w14:paraId="2655619E"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0DB3421E" w14:textId="77777777" w:rsidR="00FD3EAB" w:rsidRPr="003D090B" w:rsidRDefault="00FD3EAB" w:rsidP="00D06175">
            <w:pPr>
              <w:rPr>
                <w:rFonts w:ascii="Monsserrat" w:hAnsi="Monsserrat"/>
                <w:b/>
                <w:color w:val="000000"/>
                <w:sz w:val="20"/>
                <w:szCs w:val="20"/>
              </w:rPr>
            </w:pPr>
            <w:r w:rsidRPr="003D090B">
              <w:rPr>
                <w:rFonts w:ascii="Monsserrat" w:hAnsi="Monsserrat"/>
                <w:b/>
                <w:color w:val="000000"/>
                <w:sz w:val="20"/>
                <w:szCs w:val="20"/>
              </w:rPr>
              <w:t>Fuente de Ingreso</w:t>
            </w:r>
          </w:p>
        </w:tc>
        <w:tc>
          <w:tcPr>
            <w:tcW w:w="1559" w:type="dxa"/>
            <w:tcBorders>
              <w:top w:val="nil"/>
              <w:left w:val="nil"/>
              <w:bottom w:val="single" w:sz="8" w:space="0" w:color="000000"/>
              <w:right w:val="single" w:sz="8" w:space="0" w:color="000000"/>
            </w:tcBorders>
            <w:shd w:val="clear" w:color="auto" w:fill="FFFFFF"/>
            <w:vAlign w:val="center"/>
          </w:tcPr>
          <w:p w14:paraId="30FC2170" w14:textId="77777777" w:rsidR="00FD3EAB" w:rsidRPr="003D090B" w:rsidRDefault="00FD3EAB" w:rsidP="00D06175">
            <w:pPr>
              <w:jc w:val="right"/>
              <w:rPr>
                <w:rFonts w:ascii="Monsserrat" w:hAnsi="Monsserrat"/>
                <w:color w:val="000000"/>
                <w:sz w:val="20"/>
                <w:szCs w:val="20"/>
              </w:rPr>
            </w:pPr>
            <w:r w:rsidRPr="003D090B">
              <w:rPr>
                <w:rFonts w:ascii="Monsserrat" w:eastAsia="Calibri" w:hAnsi="Monsserrat" w:cs="Calibri"/>
                <w:color w:val="000000"/>
                <w:sz w:val="20"/>
                <w:szCs w:val="20"/>
              </w:rPr>
              <w:t> </w:t>
            </w:r>
          </w:p>
        </w:tc>
        <w:tc>
          <w:tcPr>
            <w:tcW w:w="1560" w:type="dxa"/>
            <w:tcBorders>
              <w:top w:val="nil"/>
              <w:left w:val="nil"/>
              <w:bottom w:val="single" w:sz="8" w:space="0" w:color="000000"/>
              <w:right w:val="single" w:sz="8" w:space="0" w:color="000000"/>
            </w:tcBorders>
            <w:shd w:val="clear" w:color="auto" w:fill="FFFFFF"/>
            <w:vAlign w:val="center"/>
          </w:tcPr>
          <w:p w14:paraId="539B836D" w14:textId="77777777" w:rsidR="00FD3EAB" w:rsidRPr="003D090B" w:rsidRDefault="00FD3EAB" w:rsidP="00D06175">
            <w:pPr>
              <w:jc w:val="right"/>
              <w:rPr>
                <w:rFonts w:ascii="Monsserrat" w:hAnsi="Monsserrat"/>
                <w:color w:val="000000"/>
                <w:sz w:val="20"/>
                <w:szCs w:val="20"/>
              </w:rPr>
            </w:pPr>
            <w:r w:rsidRPr="003D090B">
              <w:rPr>
                <w:rFonts w:ascii="Monsserrat" w:eastAsia="Calibri" w:hAnsi="Monsserrat" w:cs="Calibri"/>
                <w:color w:val="000000"/>
                <w:sz w:val="20"/>
                <w:szCs w:val="20"/>
              </w:rPr>
              <w:t> </w:t>
            </w:r>
          </w:p>
        </w:tc>
        <w:tc>
          <w:tcPr>
            <w:tcW w:w="1559" w:type="dxa"/>
            <w:tcBorders>
              <w:top w:val="nil"/>
              <w:left w:val="nil"/>
              <w:bottom w:val="single" w:sz="8" w:space="0" w:color="000000"/>
              <w:right w:val="single" w:sz="8" w:space="0" w:color="000000"/>
            </w:tcBorders>
            <w:shd w:val="clear" w:color="auto" w:fill="FFFFFF"/>
            <w:vAlign w:val="center"/>
          </w:tcPr>
          <w:p w14:paraId="100DE037" w14:textId="77777777" w:rsidR="00FD3EAB" w:rsidRPr="003D090B" w:rsidRDefault="00FD3EAB" w:rsidP="00D06175">
            <w:pPr>
              <w:jc w:val="right"/>
              <w:rPr>
                <w:rFonts w:ascii="Monsserrat" w:hAnsi="Monsserrat"/>
                <w:color w:val="000000"/>
                <w:sz w:val="20"/>
                <w:szCs w:val="20"/>
              </w:rPr>
            </w:pPr>
            <w:r w:rsidRPr="003D090B">
              <w:rPr>
                <w:rFonts w:ascii="Monsserrat" w:eastAsia="Calibri" w:hAnsi="Monsserrat" w:cs="Calibri"/>
                <w:color w:val="000000"/>
                <w:sz w:val="20"/>
                <w:szCs w:val="20"/>
              </w:rPr>
              <w:t> </w:t>
            </w:r>
          </w:p>
        </w:tc>
        <w:tc>
          <w:tcPr>
            <w:tcW w:w="1559" w:type="dxa"/>
            <w:tcBorders>
              <w:top w:val="nil"/>
              <w:left w:val="nil"/>
              <w:bottom w:val="single" w:sz="8" w:space="0" w:color="000000"/>
              <w:right w:val="single" w:sz="8" w:space="0" w:color="000000"/>
            </w:tcBorders>
            <w:shd w:val="clear" w:color="auto" w:fill="FFFFFF"/>
            <w:vAlign w:val="center"/>
          </w:tcPr>
          <w:p w14:paraId="7F5F5BDE" w14:textId="77777777" w:rsidR="00FD3EAB" w:rsidRPr="003D090B" w:rsidRDefault="00FD3EAB" w:rsidP="00D06175">
            <w:pPr>
              <w:jc w:val="right"/>
              <w:rPr>
                <w:rFonts w:ascii="Monsserrat" w:hAnsi="Monsserrat"/>
                <w:color w:val="000000"/>
                <w:sz w:val="20"/>
                <w:szCs w:val="20"/>
              </w:rPr>
            </w:pPr>
            <w:r w:rsidRPr="003D090B">
              <w:rPr>
                <w:rFonts w:ascii="Monsserrat" w:eastAsia="Calibri" w:hAnsi="Monsserrat" w:cs="Calibri"/>
                <w:color w:val="000000"/>
                <w:sz w:val="20"/>
                <w:szCs w:val="20"/>
              </w:rPr>
              <w:t> </w:t>
            </w:r>
          </w:p>
        </w:tc>
        <w:tc>
          <w:tcPr>
            <w:tcW w:w="1559" w:type="dxa"/>
            <w:tcBorders>
              <w:top w:val="nil"/>
              <w:left w:val="nil"/>
              <w:bottom w:val="single" w:sz="8" w:space="0" w:color="000000"/>
              <w:right w:val="single" w:sz="8" w:space="0" w:color="000000"/>
            </w:tcBorders>
            <w:shd w:val="clear" w:color="auto" w:fill="FFFFFF"/>
          </w:tcPr>
          <w:p w14:paraId="08545534" w14:textId="77777777" w:rsidR="00FD3EAB" w:rsidRPr="003D090B" w:rsidRDefault="00FD3EAB" w:rsidP="00D06175">
            <w:pPr>
              <w:jc w:val="center"/>
              <w:rPr>
                <w:rFonts w:ascii="Monsserrat" w:hAnsi="Monsserrat"/>
                <w:b/>
                <w:color w:val="000000"/>
                <w:sz w:val="20"/>
                <w:szCs w:val="20"/>
              </w:rPr>
            </w:pPr>
          </w:p>
        </w:tc>
      </w:tr>
      <w:tr w:rsidR="0010188D" w:rsidRPr="003D090B" w14:paraId="603545CF"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348EA6F1" w14:textId="77777777" w:rsidR="00FD3EAB" w:rsidRPr="003D090B" w:rsidRDefault="00FD3EAB" w:rsidP="00D06175">
            <w:pPr>
              <w:rPr>
                <w:rFonts w:ascii="Monsserrat" w:hAnsi="Monsserrat"/>
                <w:color w:val="000000"/>
                <w:sz w:val="20"/>
                <w:szCs w:val="20"/>
              </w:rPr>
            </w:pPr>
            <w:r w:rsidRPr="003D090B">
              <w:rPr>
                <w:rFonts w:ascii="Monsserrat" w:hAnsi="Monsserrat"/>
                <w:color w:val="000000"/>
                <w:sz w:val="20"/>
                <w:szCs w:val="20"/>
              </w:rPr>
              <w:t>Impuestos</w:t>
            </w:r>
          </w:p>
        </w:tc>
        <w:tc>
          <w:tcPr>
            <w:tcW w:w="1559" w:type="dxa"/>
            <w:tcBorders>
              <w:top w:val="nil"/>
              <w:left w:val="nil"/>
              <w:bottom w:val="single" w:sz="8" w:space="0" w:color="000000"/>
              <w:right w:val="single" w:sz="8" w:space="0" w:color="000000"/>
            </w:tcBorders>
            <w:shd w:val="clear" w:color="auto" w:fill="FFFFFF"/>
            <w:vAlign w:val="center"/>
          </w:tcPr>
          <w:p w14:paraId="5FA73C66"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1,176,741,858</w:t>
            </w:r>
          </w:p>
        </w:tc>
        <w:tc>
          <w:tcPr>
            <w:tcW w:w="1560" w:type="dxa"/>
            <w:tcBorders>
              <w:top w:val="nil"/>
              <w:left w:val="nil"/>
              <w:bottom w:val="single" w:sz="8" w:space="0" w:color="000000"/>
              <w:right w:val="single" w:sz="8" w:space="0" w:color="000000"/>
            </w:tcBorders>
            <w:shd w:val="clear" w:color="auto" w:fill="FFFFFF"/>
            <w:vAlign w:val="center"/>
          </w:tcPr>
          <w:p w14:paraId="2DC4EE85"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1,314,103,439</w:t>
            </w:r>
          </w:p>
        </w:tc>
        <w:tc>
          <w:tcPr>
            <w:tcW w:w="1559" w:type="dxa"/>
            <w:tcBorders>
              <w:top w:val="nil"/>
              <w:left w:val="nil"/>
              <w:bottom w:val="single" w:sz="8" w:space="0" w:color="000000"/>
              <w:right w:val="single" w:sz="8" w:space="0" w:color="000000"/>
            </w:tcBorders>
            <w:shd w:val="clear" w:color="auto" w:fill="FFFFFF"/>
            <w:vAlign w:val="center"/>
          </w:tcPr>
          <w:p w14:paraId="76FF3982"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1,630,124,597</w:t>
            </w:r>
          </w:p>
        </w:tc>
        <w:tc>
          <w:tcPr>
            <w:tcW w:w="1559" w:type="dxa"/>
            <w:tcBorders>
              <w:top w:val="nil"/>
              <w:left w:val="nil"/>
              <w:bottom w:val="single" w:sz="8" w:space="0" w:color="000000"/>
              <w:right w:val="single" w:sz="8" w:space="0" w:color="000000"/>
            </w:tcBorders>
            <w:shd w:val="clear" w:color="auto" w:fill="FFFFFF"/>
            <w:vAlign w:val="center"/>
          </w:tcPr>
          <w:p w14:paraId="384E1E39"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1,509,184,337</w:t>
            </w:r>
          </w:p>
        </w:tc>
        <w:tc>
          <w:tcPr>
            <w:tcW w:w="1559" w:type="dxa"/>
            <w:tcBorders>
              <w:top w:val="nil"/>
              <w:left w:val="nil"/>
              <w:bottom w:val="single" w:sz="8" w:space="0" w:color="000000"/>
              <w:right w:val="single" w:sz="8" w:space="0" w:color="000000"/>
            </w:tcBorders>
            <w:shd w:val="clear" w:color="auto" w:fill="FFFFFF"/>
            <w:vAlign w:val="center"/>
          </w:tcPr>
          <w:p w14:paraId="27EA3D10" w14:textId="77777777" w:rsidR="00FD3EAB" w:rsidRPr="003D090B" w:rsidRDefault="00FD3EAB" w:rsidP="00D06175">
            <w:pPr>
              <w:jc w:val="center"/>
              <w:rPr>
                <w:rFonts w:ascii="Monsserrat" w:hAnsi="Monsserrat"/>
                <w:b/>
                <w:color w:val="000000"/>
                <w:sz w:val="20"/>
                <w:szCs w:val="20"/>
              </w:rPr>
            </w:pPr>
            <w:r w:rsidRPr="003D090B">
              <w:rPr>
                <w:rFonts w:ascii="Monsserrat" w:hAnsi="Monsserrat"/>
                <w:color w:val="000000"/>
                <w:sz w:val="20"/>
                <w:szCs w:val="20"/>
              </w:rPr>
              <w:t xml:space="preserve">  1,418,344,688</w:t>
            </w:r>
          </w:p>
        </w:tc>
      </w:tr>
      <w:tr w:rsidR="0010188D" w:rsidRPr="003D090B" w14:paraId="74A432DC"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76C3FC79" w14:textId="77777777" w:rsidR="00FD3EAB" w:rsidRPr="003D090B" w:rsidRDefault="00FD3EAB" w:rsidP="00D06175">
            <w:pPr>
              <w:rPr>
                <w:rFonts w:ascii="Monsserrat" w:hAnsi="Monsserrat"/>
                <w:color w:val="000000"/>
                <w:sz w:val="20"/>
                <w:szCs w:val="20"/>
              </w:rPr>
            </w:pPr>
            <w:r w:rsidRPr="003D090B">
              <w:rPr>
                <w:rFonts w:ascii="Monsserrat" w:hAnsi="Monsserrat"/>
                <w:color w:val="000000"/>
                <w:sz w:val="20"/>
                <w:szCs w:val="20"/>
              </w:rPr>
              <w:t>Derechos</w:t>
            </w:r>
          </w:p>
        </w:tc>
        <w:tc>
          <w:tcPr>
            <w:tcW w:w="1559" w:type="dxa"/>
            <w:tcBorders>
              <w:top w:val="nil"/>
              <w:left w:val="nil"/>
              <w:bottom w:val="single" w:sz="8" w:space="0" w:color="000000"/>
              <w:right w:val="single" w:sz="8" w:space="0" w:color="000000"/>
            </w:tcBorders>
            <w:shd w:val="clear" w:color="auto" w:fill="FFFFFF"/>
            <w:vAlign w:val="center"/>
          </w:tcPr>
          <w:p w14:paraId="57B9ABD6"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1,461,228,076</w:t>
            </w:r>
          </w:p>
        </w:tc>
        <w:tc>
          <w:tcPr>
            <w:tcW w:w="1560" w:type="dxa"/>
            <w:tcBorders>
              <w:top w:val="nil"/>
              <w:left w:val="nil"/>
              <w:bottom w:val="single" w:sz="8" w:space="0" w:color="000000"/>
              <w:right w:val="single" w:sz="8" w:space="0" w:color="000000"/>
            </w:tcBorders>
            <w:shd w:val="clear" w:color="auto" w:fill="FFFFFF"/>
            <w:vAlign w:val="center"/>
          </w:tcPr>
          <w:p w14:paraId="09021094"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1,600,713,231</w:t>
            </w:r>
          </w:p>
        </w:tc>
        <w:tc>
          <w:tcPr>
            <w:tcW w:w="1559" w:type="dxa"/>
            <w:tcBorders>
              <w:top w:val="nil"/>
              <w:left w:val="nil"/>
              <w:bottom w:val="single" w:sz="8" w:space="0" w:color="000000"/>
              <w:right w:val="single" w:sz="8" w:space="0" w:color="000000"/>
            </w:tcBorders>
            <w:shd w:val="clear" w:color="auto" w:fill="FFFFFF"/>
            <w:vAlign w:val="center"/>
          </w:tcPr>
          <w:p w14:paraId="2F42BD75"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1,924,103,852</w:t>
            </w:r>
          </w:p>
        </w:tc>
        <w:tc>
          <w:tcPr>
            <w:tcW w:w="1559" w:type="dxa"/>
            <w:tcBorders>
              <w:top w:val="nil"/>
              <w:left w:val="nil"/>
              <w:bottom w:val="single" w:sz="8" w:space="0" w:color="000000"/>
              <w:right w:val="single" w:sz="8" w:space="0" w:color="000000"/>
            </w:tcBorders>
            <w:shd w:val="clear" w:color="auto" w:fill="FFFFFF"/>
            <w:vAlign w:val="center"/>
          </w:tcPr>
          <w:p w14:paraId="2E6AF41E"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1,757,858,702</w:t>
            </w:r>
          </w:p>
        </w:tc>
        <w:tc>
          <w:tcPr>
            <w:tcW w:w="1559" w:type="dxa"/>
            <w:tcBorders>
              <w:top w:val="nil"/>
              <w:left w:val="nil"/>
              <w:bottom w:val="single" w:sz="8" w:space="0" w:color="000000"/>
              <w:right w:val="single" w:sz="8" w:space="0" w:color="000000"/>
            </w:tcBorders>
            <w:shd w:val="clear" w:color="auto" w:fill="FFFFFF"/>
            <w:vAlign w:val="center"/>
          </w:tcPr>
          <w:p w14:paraId="5823E8BB" w14:textId="77777777" w:rsidR="00FD3EAB" w:rsidRPr="003D090B" w:rsidRDefault="00FD3EAB" w:rsidP="00D06175">
            <w:pPr>
              <w:jc w:val="center"/>
              <w:rPr>
                <w:rFonts w:ascii="Monsserrat" w:hAnsi="Monsserrat"/>
                <w:b/>
                <w:color w:val="000000"/>
                <w:sz w:val="20"/>
                <w:szCs w:val="20"/>
              </w:rPr>
            </w:pPr>
            <w:r w:rsidRPr="003D090B">
              <w:rPr>
                <w:rFonts w:ascii="Monsserrat" w:hAnsi="Monsserrat"/>
                <w:color w:val="000000"/>
                <w:sz w:val="20"/>
                <w:szCs w:val="20"/>
              </w:rPr>
              <w:t xml:space="preserve">  1,666,385,595</w:t>
            </w:r>
          </w:p>
        </w:tc>
      </w:tr>
      <w:tr w:rsidR="0010188D" w:rsidRPr="003D090B" w14:paraId="228A0915"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5A401576" w14:textId="77777777" w:rsidR="00FD3EAB" w:rsidRPr="003D090B" w:rsidRDefault="00FD3EAB" w:rsidP="00D06175">
            <w:pPr>
              <w:rPr>
                <w:rFonts w:ascii="Monsserrat" w:hAnsi="Monsserrat"/>
                <w:color w:val="000000"/>
                <w:sz w:val="20"/>
                <w:szCs w:val="20"/>
              </w:rPr>
            </w:pPr>
            <w:r w:rsidRPr="003D090B">
              <w:rPr>
                <w:rFonts w:ascii="Monsserrat" w:hAnsi="Monsserrat"/>
                <w:color w:val="000000"/>
                <w:sz w:val="20"/>
                <w:szCs w:val="20"/>
              </w:rPr>
              <w:t>Productos</w:t>
            </w:r>
          </w:p>
        </w:tc>
        <w:tc>
          <w:tcPr>
            <w:tcW w:w="1559" w:type="dxa"/>
            <w:tcBorders>
              <w:top w:val="nil"/>
              <w:left w:val="nil"/>
              <w:bottom w:val="single" w:sz="8" w:space="0" w:color="000000"/>
              <w:right w:val="single" w:sz="8" w:space="0" w:color="000000"/>
            </w:tcBorders>
            <w:shd w:val="clear" w:color="auto" w:fill="FFFFFF"/>
            <w:vAlign w:val="center"/>
          </w:tcPr>
          <w:p w14:paraId="67842D4D"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22,261,070</w:t>
            </w:r>
          </w:p>
        </w:tc>
        <w:tc>
          <w:tcPr>
            <w:tcW w:w="1560" w:type="dxa"/>
            <w:tcBorders>
              <w:top w:val="nil"/>
              <w:left w:val="nil"/>
              <w:bottom w:val="single" w:sz="8" w:space="0" w:color="000000"/>
              <w:right w:val="single" w:sz="8" w:space="0" w:color="000000"/>
            </w:tcBorders>
            <w:shd w:val="clear" w:color="auto" w:fill="FFFFFF"/>
            <w:vAlign w:val="center"/>
          </w:tcPr>
          <w:p w14:paraId="54CAD038"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129,431,423</w:t>
            </w:r>
          </w:p>
        </w:tc>
        <w:tc>
          <w:tcPr>
            <w:tcW w:w="1559" w:type="dxa"/>
            <w:tcBorders>
              <w:top w:val="nil"/>
              <w:left w:val="nil"/>
              <w:bottom w:val="single" w:sz="8" w:space="0" w:color="000000"/>
              <w:right w:val="single" w:sz="8" w:space="0" w:color="000000"/>
            </w:tcBorders>
            <w:shd w:val="clear" w:color="auto" w:fill="FFFFFF"/>
            <w:vAlign w:val="center"/>
          </w:tcPr>
          <w:p w14:paraId="03A2C7BE"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132,374,565</w:t>
            </w:r>
          </w:p>
        </w:tc>
        <w:tc>
          <w:tcPr>
            <w:tcW w:w="1559" w:type="dxa"/>
            <w:tcBorders>
              <w:top w:val="nil"/>
              <w:left w:val="nil"/>
              <w:bottom w:val="single" w:sz="8" w:space="0" w:color="000000"/>
              <w:right w:val="single" w:sz="8" w:space="0" w:color="000000"/>
            </w:tcBorders>
            <w:shd w:val="clear" w:color="auto" w:fill="FFFFFF"/>
            <w:vAlign w:val="center"/>
          </w:tcPr>
          <w:p w14:paraId="16D57DDF"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99,437,231</w:t>
            </w:r>
          </w:p>
        </w:tc>
        <w:tc>
          <w:tcPr>
            <w:tcW w:w="1559" w:type="dxa"/>
            <w:tcBorders>
              <w:top w:val="nil"/>
              <w:left w:val="nil"/>
              <w:bottom w:val="single" w:sz="8" w:space="0" w:color="000000"/>
              <w:right w:val="single" w:sz="8" w:space="0" w:color="000000"/>
            </w:tcBorders>
            <w:shd w:val="clear" w:color="auto" w:fill="FFFFFF"/>
            <w:vAlign w:val="center"/>
          </w:tcPr>
          <w:p w14:paraId="174A902F" w14:textId="77777777" w:rsidR="00FD3EAB" w:rsidRPr="003D090B" w:rsidRDefault="00FD3EAB" w:rsidP="00D06175">
            <w:pPr>
              <w:jc w:val="center"/>
              <w:rPr>
                <w:rFonts w:ascii="Monsserrat" w:hAnsi="Monsserrat"/>
                <w:b/>
                <w:color w:val="000000"/>
                <w:sz w:val="20"/>
                <w:szCs w:val="20"/>
              </w:rPr>
            </w:pPr>
            <w:r w:rsidRPr="003D090B">
              <w:rPr>
                <w:rFonts w:ascii="Monsserrat" w:hAnsi="Monsserrat"/>
                <w:color w:val="000000"/>
                <w:sz w:val="20"/>
                <w:szCs w:val="20"/>
              </w:rPr>
              <w:t xml:space="preserve">  116,531,800</w:t>
            </w:r>
          </w:p>
        </w:tc>
      </w:tr>
      <w:tr w:rsidR="0010188D" w:rsidRPr="003D090B" w14:paraId="3DC89296"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248B3256" w14:textId="77777777" w:rsidR="00FD3EAB" w:rsidRPr="003D090B" w:rsidRDefault="00FD3EAB" w:rsidP="00D06175">
            <w:pPr>
              <w:rPr>
                <w:rFonts w:ascii="Monsserrat" w:hAnsi="Monsserrat"/>
                <w:color w:val="000000"/>
                <w:sz w:val="20"/>
                <w:szCs w:val="20"/>
              </w:rPr>
            </w:pPr>
            <w:r w:rsidRPr="003D090B">
              <w:rPr>
                <w:rFonts w:ascii="Monsserrat" w:hAnsi="Monsserrat"/>
                <w:color w:val="000000"/>
                <w:sz w:val="20"/>
                <w:szCs w:val="20"/>
              </w:rPr>
              <w:t>Aprovechamientos</w:t>
            </w:r>
          </w:p>
        </w:tc>
        <w:tc>
          <w:tcPr>
            <w:tcW w:w="1559" w:type="dxa"/>
            <w:tcBorders>
              <w:top w:val="nil"/>
              <w:left w:val="nil"/>
              <w:bottom w:val="single" w:sz="8" w:space="0" w:color="000000"/>
              <w:right w:val="single" w:sz="8" w:space="0" w:color="000000"/>
            </w:tcBorders>
            <w:shd w:val="clear" w:color="auto" w:fill="FFFFFF"/>
            <w:vAlign w:val="center"/>
          </w:tcPr>
          <w:p w14:paraId="0B16E091"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943,435,552</w:t>
            </w:r>
          </w:p>
        </w:tc>
        <w:tc>
          <w:tcPr>
            <w:tcW w:w="1560" w:type="dxa"/>
            <w:tcBorders>
              <w:top w:val="nil"/>
              <w:left w:val="nil"/>
              <w:bottom w:val="single" w:sz="8" w:space="0" w:color="000000"/>
              <w:right w:val="single" w:sz="8" w:space="0" w:color="000000"/>
            </w:tcBorders>
            <w:shd w:val="clear" w:color="auto" w:fill="FFFFFF"/>
            <w:vAlign w:val="center"/>
          </w:tcPr>
          <w:p w14:paraId="07B1CD8E"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257,908,134</w:t>
            </w:r>
          </w:p>
        </w:tc>
        <w:tc>
          <w:tcPr>
            <w:tcW w:w="1559" w:type="dxa"/>
            <w:tcBorders>
              <w:top w:val="nil"/>
              <w:left w:val="nil"/>
              <w:bottom w:val="single" w:sz="8" w:space="0" w:color="000000"/>
              <w:right w:val="single" w:sz="8" w:space="0" w:color="000000"/>
            </w:tcBorders>
            <w:shd w:val="clear" w:color="auto" w:fill="FFFFFF"/>
            <w:vAlign w:val="center"/>
          </w:tcPr>
          <w:p w14:paraId="4B2780E0"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164,789,979</w:t>
            </w:r>
          </w:p>
        </w:tc>
        <w:tc>
          <w:tcPr>
            <w:tcW w:w="1559" w:type="dxa"/>
            <w:tcBorders>
              <w:top w:val="nil"/>
              <w:left w:val="nil"/>
              <w:bottom w:val="single" w:sz="8" w:space="0" w:color="000000"/>
              <w:right w:val="single" w:sz="8" w:space="0" w:color="000000"/>
            </w:tcBorders>
            <w:shd w:val="clear" w:color="auto" w:fill="FFFFFF"/>
            <w:vAlign w:val="center"/>
          </w:tcPr>
          <w:p w14:paraId="4587E55F"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113,808,614</w:t>
            </w:r>
          </w:p>
        </w:tc>
        <w:tc>
          <w:tcPr>
            <w:tcW w:w="1559" w:type="dxa"/>
            <w:tcBorders>
              <w:top w:val="nil"/>
              <w:left w:val="nil"/>
              <w:bottom w:val="single" w:sz="8" w:space="0" w:color="000000"/>
              <w:right w:val="single" w:sz="8" w:space="0" w:color="000000"/>
            </w:tcBorders>
            <w:shd w:val="clear" w:color="auto" w:fill="FFFFFF"/>
            <w:vAlign w:val="center"/>
          </w:tcPr>
          <w:p w14:paraId="097738BE" w14:textId="77777777" w:rsidR="00FD3EAB" w:rsidRPr="003D090B" w:rsidRDefault="00FD3EAB" w:rsidP="00D06175">
            <w:pPr>
              <w:jc w:val="center"/>
              <w:rPr>
                <w:rFonts w:ascii="Monsserrat" w:hAnsi="Monsserrat"/>
                <w:b/>
                <w:color w:val="000000"/>
                <w:sz w:val="20"/>
                <w:szCs w:val="20"/>
              </w:rPr>
            </w:pPr>
            <w:r w:rsidRPr="003D090B">
              <w:rPr>
                <w:rFonts w:ascii="Monsserrat" w:hAnsi="Monsserrat"/>
                <w:color w:val="000000"/>
                <w:sz w:val="20"/>
                <w:szCs w:val="20"/>
              </w:rPr>
              <w:t xml:space="preserve">  17,457,284</w:t>
            </w:r>
          </w:p>
        </w:tc>
      </w:tr>
      <w:tr w:rsidR="0010188D" w:rsidRPr="003D090B" w14:paraId="2BCF4931" w14:textId="77777777" w:rsidTr="0010188D">
        <w:trPr>
          <w:trHeight w:val="1215"/>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52AC5BDC" w14:textId="77777777" w:rsidR="00FD3EAB" w:rsidRPr="003D090B" w:rsidRDefault="00FD3EAB" w:rsidP="00D06175">
            <w:pPr>
              <w:rPr>
                <w:rFonts w:ascii="Monsserrat" w:hAnsi="Monsserrat"/>
                <w:color w:val="000000"/>
                <w:sz w:val="20"/>
                <w:szCs w:val="20"/>
              </w:rPr>
            </w:pPr>
            <w:r w:rsidRPr="003D090B">
              <w:rPr>
                <w:rFonts w:ascii="Monsserrat" w:hAnsi="Monsserrat"/>
                <w:color w:val="000000"/>
                <w:sz w:val="20"/>
                <w:szCs w:val="20"/>
              </w:rPr>
              <w:t>Contribuciones no comprendidas en las fracciones de la Ley de Ingresos causados en ejercicios fiscales anteriores pendientes de liquidación o pago</w:t>
            </w:r>
          </w:p>
        </w:tc>
        <w:tc>
          <w:tcPr>
            <w:tcW w:w="1559" w:type="dxa"/>
            <w:tcBorders>
              <w:top w:val="nil"/>
              <w:left w:val="nil"/>
              <w:bottom w:val="single" w:sz="8" w:space="0" w:color="000000"/>
              <w:right w:val="single" w:sz="8" w:space="0" w:color="000000"/>
            </w:tcBorders>
            <w:shd w:val="clear" w:color="auto" w:fill="FFFFFF"/>
            <w:vAlign w:val="center"/>
          </w:tcPr>
          <w:p w14:paraId="394CD8D2"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1,790,630</w:t>
            </w:r>
          </w:p>
        </w:tc>
        <w:tc>
          <w:tcPr>
            <w:tcW w:w="1560" w:type="dxa"/>
            <w:tcBorders>
              <w:top w:val="nil"/>
              <w:left w:val="nil"/>
              <w:bottom w:val="single" w:sz="8" w:space="0" w:color="000000"/>
              <w:right w:val="single" w:sz="8" w:space="0" w:color="000000"/>
            </w:tcBorders>
            <w:shd w:val="clear" w:color="auto" w:fill="FFFFFF"/>
            <w:vAlign w:val="center"/>
          </w:tcPr>
          <w:p w14:paraId="5426B838"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0</w:t>
            </w:r>
          </w:p>
        </w:tc>
        <w:tc>
          <w:tcPr>
            <w:tcW w:w="1559" w:type="dxa"/>
            <w:tcBorders>
              <w:top w:val="nil"/>
              <w:left w:val="nil"/>
              <w:bottom w:val="single" w:sz="8" w:space="0" w:color="000000"/>
              <w:right w:val="single" w:sz="8" w:space="0" w:color="000000"/>
            </w:tcBorders>
            <w:shd w:val="clear" w:color="auto" w:fill="FFFFFF"/>
            <w:vAlign w:val="center"/>
          </w:tcPr>
          <w:p w14:paraId="6C762491"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0</w:t>
            </w:r>
          </w:p>
        </w:tc>
        <w:tc>
          <w:tcPr>
            <w:tcW w:w="1559" w:type="dxa"/>
            <w:tcBorders>
              <w:top w:val="nil"/>
              <w:left w:val="nil"/>
              <w:bottom w:val="single" w:sz="8" w:space="0" w:color="000000"/>
              <w:right w:val="single" w:sz="8" w:space="0" w:color="000000"/>
            </w:tcBorders>
            <w:shd w:val="clear" w:color="auto" w:fill="FFFFFF"/>
            <w:vAlign w:val="center"/>
          </w:tcPr>
          <w:p w14:paraId="0B65C1EB" w14:textId="77777777" w:rsidR="00FD3EAB" w:rsidRPr="003D090B" w:rsidRDefault="00FD3EAB" w:rsidP="00D06175">
            <w:pPr>
              <w:jc w:val="right"/>
              <w:rPr>
                <w:rFonts w:ascii="Monsserrat" w:hAnsi="Monsserrat"/>
                <w:color w:val="000000"/>
                <w:sz w:val="20"/>
                <w:szCs w:val="20"/>
              </w:rPr>
            </w:pPr>
            <w:r w:rsidRPr="003D090B">
              <w:rPr>
                <w:rFonts w:ascii="Monsserrat" w:hAnsi="Monsserrat"/>
                <w:color w:val="000000"/>
                <w:sz w:val="20"/>
                <w:szCs w:val="20"/>
              </w:rPr>
              <w:t>0</w:t>
            </w:r>
          </w:p>
        </w:tc>
        <w:tc>
          <w:tcPr>
            <w:tcW w:w="1559" w:type="dxa"/>
            <w:tcBorders>
              <w:top w:val="nil"/>
              <w:left w:val="nil"/>
              <w:bottom w:val="single" w:sz="8" w:space="0" w:color="000000"/>
              <w:right w:val="single" w:sz="8" w:space="0" w:color="000000"/>
            </w:tcBorders>
            <w:shd w:val="clear" w:color="auto" w:fill="FFFFFF"/>
            <w:vAlign w:val="center"/>
          </w:tcPr>
          <w:p w14:paraId="59CD15EF" w14:textId="77777777" w:rsidR="00FD3EAB" w:rsidRPr="003D090B" w:rsidRDefault="00FD3EAB" w:rsidP="00D06175">
            <w:pPr>
              <w:jc w:val="center"/>
              <w:rPr>
                <w:rFonts w:ascii="Monsserrat" w:hAnsi="Monsserrat"/>
                <w:b/>
                <w:color w:val="000000"/>
                <w:sz w:val="20"/>
                <w:szCs w:val="20"/>
              </w:rPr>
            </w:pPr>
            <w:r w:rsidRPr="003D090B">
              <w:rPr>
                <w:rFonts w:ascii="Monsserrat" w:hAnsi="Monsserrat"/>
                <w:color w:val="000000"/>
                <w:sz w:val="20"/>
                <w:szCs w:val="20"/>
              </w:rPr>
              <w:t>0</w:t>
            </w:r>
          </w:p>
        </w:tc>
      </w:tr>
      <w:tr w:rsidR="0010188D" w:rsidRPr="003D090B" w14:paraId="4C458DE3" w14:textId="77777777" w:rsidTr="0010188D">
        <w:trPr>
          <w:trHeight w:val="480"/>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4A37AEB2" w14:textId="77777777" w:rsidR="00FD3EAB" w:rsidRPr="003D090B" w:rsidRDefault="00FD3EAB" w:rsidP="00D06175">
            <w:pPr>
              <w:rPr>
                <w:rFonts w:ascii="Monsserrat" w:hAnsi="Monsserrat"/>
                <w:b/>
                <w:color w:val="000000"/>
                <w:sz w:val="20"/>
                <w:szCs w:val="20"/>
              </w:rPr>
            </w:pPr>
            <w:r w:rsidRPr="003D090B">
              <w:rPr>
                <w:rFonts w:ascii="Monsserrat" w:hAnsi="Monsserrat"/>
                <w:b/>
                <w:color w:val="000000"/>
                <w:sz w:val="20"/>
                <w:szCs w:val="20"/>
              </w:rPr>
              <w:t>Total Ingresos Propios</w:t>
            </w:r>
          </w:p>
        </w:tc>
        <w:tc>
          <w:tcPr>
            <w:tcW w:w="1559" w:type="dxa"/>
            <w:tcBorders>
              <w:top w:val="nil"/>
              <w:left w:val="nil"/>
              <w:bottom w:val="single" w:sz="8" w:space="0" w:color="000000"/>
              <w:right w:val="single" w:sz="8" w:space="0" w:color="000000"/>
            </w:tcBorders>
            <w:shd w:val="clear" w:color="auto" w:fill="FFFFFF"/>
            <w:vAlign w:val="center"/>
          </w:tcPr>
          <w:p w14:paraId="5535D0F5"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3,605,457,186</w:t>
            </w:r>
          </w:p>
        </w:tc>
        <w:tc>
          <w:tcPr>
            <w:tcW w:w="1560" w:type="dxa"/>
            <w:tcBorders>
              <w:top w:val="nil"/>
              <w:left w:val="nil"/>
              <w:bottom w:val="single" w:sz="8" w:space="0" w:color="000000"/>
              <w:right w:val="single" w:sz="8" w:space="0" w:color="000000"/>
            </w:tcBorders>
            <w:shd w:val="clear" w:color="auto" w:fill="FFFFFF"/>
            <w:vAlign w:val="center"/>
          </w:tcPr>
          <w:p w14:paraId="0C9E2F3C"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3,302,156,227</w:t>
            </w:r>
          </w:p>
        </w:tc>
        <w:tc>
          <w:tcPr>
            <w:tcW w:w="1559" w:type="dxa"/>
            <w:tcBorders>
              <w:top w:val="nil"/>
              <w:left w:val="nil"/>
              <w:bottom w:val="single" w:sz="8" w:space="0" w:color="000000"/>
              <w:right w:val="single" w:sz="8" w:space="0" w:color="000000"/>
            </w:tcBorders>
            <w:shd w:val="clear" w:color="auto" w:fill="FFFFFF"/>
            <w:vAlign w:val="center"/>
          </w:tcPr>
          <w:p w14:paraId="2B86B750"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3,851,392,993</w:t>
            </w:r>
          </w:p>
        </w:tc>
        <w:tc>
          <w:tcPr>
            <w:tcW w:w="1559" w:type="dxa"/>
            <w:tcBorders>
              <w:top w:val="nil"/>
              <w:left w:val="nil"/>
              <w:bottom w:val="single" w:sz="8" w:space="0" w:color="000000"/>
              <w:right w:val="single" w:sz="8" w:space="0" w:color="000000"/>
            </w:tcBorders>
            <w:shd w:val="clear" w:color="auto" w:fill="FFFFFF"/>
            <w:vAlign w:val="center"/>
          </w:tcPr>
          <w:p w14:paraId="6A333979"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3,480,288,884</w:t>
            </w:r>
          </w:p>
        </w:tc>
        <w:tc>
          <w:tcPr>
            <w:tcW w:w="1559" w:type="dxa"/>
            <w:tcBorders>
              <w:top w:val="nil"/>
              <w:left w:val="nil"/>
              <w:bottom w:val="single" w:sz="8" w:space="0" w:color="000000"/>
              <w:right w:val="single" w:sz="8" w:space="0" w:color="000000"/>
            </w:tcBorders>
            <w:shd w:val="clear" w:color="auto" w:fill="FFFFFF"/>
            <w:vAlign w:val="center"/>
          </w:tcPr>
          <w:p w14:paraId="4A30C6C0" w14:textId="77777777" w:rsidR="00FD3EAB" w:rsidRPr="003D090B" w:rsidRDefault="00FD3EAB" w:rsidP="00D06175">
            <w:pPr>
              <w:jc w:val="center"/>
              <w:rPr>
                <w:rFonts w:ascii="Monsserrat" w:hAnsi="Monsserrat"/>
                <w:b/>
                <w:color w:val="000000"/>
                <w:sz w:val="20"/>
                <w:szCs w:val="20"/>
              </w:rPr>
            </w:pPr>
            <w:r w:rsidRPr="003D090B">
              <w:rPr>
                <w:rFonts w:ascii="Monsserrat" w:hAnsi="Monsserrat"/>
                <w:b/>
                <w:color w:val="000000"/>
                <w:sz w:val="20"/>
                <w:szCs w:val="20"/>
              </w:rPr>
              <w:t>3,218,719,367</w:t>
            </w:r>
          </w:p>
        </w:tc>
      </w:tr>
      <w:tr w:rsidR="0010188D" w:rsidRPr="003D090B" w14:paraId="275B8161" w14:textId="77777777" w:rsidTr="0010188D">
        <w:trPr>
          <w:trHeight w:val="742"/>
        </w:trPr>
        <w:tc>
          <w:tcPr>
            <w:tcW w:w="1951" w:type="dxa"/>
            <w:tcBorders>
              <w:top w:val="nil"/>
              <w:left w:val="single" w:sz="8" w:space="0" w:color="000000"/>
              <w:bottom w:val="single" w:sz="8" w:space="0" w:color="000000"/>
              <w:right w:val="single" w:sz="8" w:space="0" w:color="000000"/>
            </w:tcBorders>
            <w:shd w:val="clear" w:color="auto" w:fill="FFFFFF"/>
            <w:vAlign w:val="center"/>
          </w:tcPr>
          <w:p w14:paraId="23612B03" w14:textId="77777777" w:rsidR="00FD3EAB" w:rsidRPr="003D090B" w:rsidRDefault="00FD3EAB" w:rsidP="00D06175">
            <w:pPr>
              <w:rPr>
                <w:rFonts w:ascii="Monsserrat" w:hAnsi="Monsserrat"/>
                <w:b/>
                <w:color w:val="000000"/>
                <w:sz w:val="20"/>
                <w:szCs w:val="20"/>
              </w:rPr>
            </w:pPr>
            <w:r w:rsidRPr="003D090B">
              <w:rPr>
                <w:rFonts w:ascii="Monsserrat" w:hAnsi="Monsserrat"/>
                <w:b/>
                <w:color w:val="000000"/>
                <w:sz w:val="20"/>
                <w:szCs w:val="20"/>
              </w:rPr>
              <w:t>Deuda con respecto a la recaudación</w:t>
            </w:r>
          </w:p>
        </w:tc>
        <w:tc>
          <w:tcPr>
            <w:tcW w:w="1559" w:type="dxa"/>
            <w:tcBorders>
              <w:top w:val="nil"/>
              <w:left w:val="single" w:sz="8" w:space="0" w:color="000000"/>
              <w:bottom w:val="single" w:sz="8" w:space="0" w:color="000000"/>
              <w:right w:val="single" w:sz="8" w:space="0" w:color="000000"/>
            </w:tcBorders>
            <w:shd w:val="clear" w:color="auto" w:fill="FFFFFF"/>
            <w:vAlign w:val="center"/>
          </w:tcPr>
          <w:p w14:paraId="61BBDAFE"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 xml:space="preserve">                  2.61 </w:t>
            </w:r>
          </w:p>
        </w:tc>
        <w:tc>
          <w:tcPr>
            <w:tcW w:w="1560" w:type="dxa"/>
            <w:tcBorders>
              <w:top w:val="nil"/>
              <w:left w:val="single" w:sz="8" w:space="0" w:color="000000"/>
              <w:bottom w:val="single" w:sz="8" w:space="0" w:color="000000"/>
              <w:right w:val="single" w:sz="8" w:space="0" w:color="000000"/>
            </w:tcBorders>
            <w:shd w:val="clear" w:color="auto" w:fill="FFFFFF"/>
            <w:vAlign w:val="center"/>
          </w:tcPr>
          <w:p w14:paraId="7ECD385B"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 xml:space="preserve">                    3.87 </w:t>
            </w:r>
          </w:p>
        </w:tc>
        <w:tc>
          <w:tcPr>
            <w:tcW w:w="1559" w:type="dxa"/>
            <w:tcBorders>
              <w:top w:val="nil"/>
              <w:left w:val="single" w:sz="8" w:space="0" w:color="000000"/>
              <w:bottom w:val="single" w:sz="8" w:space="0" w:color="000000"/>
              <w:right w:val="single" w:sz="8" w:space="0" w:color="000000"/>
            </w:tcBorders>
            <w:shd w:val="clear" w:color="auto" w:fill="FFFFFF"/>
            <w:vAlign w:val="center"/>
          </w:tcPr>
          <w:p w14:paraId="21F80574"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 xml:space="preserve">                    3.29 </w:t>
            </w:r>
          </w:p>
        </w:tc>
        <w:tc>
          <w:tcPr>
            <w:tcW w:w="1559" w:type="dxa"/>
            <w:tcBorders>
              <w:top w:val="nil"/>
              <w:left w:val="single" w:sz="8" w:space="0" w:color="000000"/>
              <w:bottom w:val="single" w:sz="8" w:space="0" w:color="000000"/>
              <w:right w:val="single" w:sz="8" w:space="0" w:color="000000"/>
            </w:tcBorders>
            <w:shd w:val="clear" w:color="auto" w:fill="FFFFFF"/>
            <w:vAlign w:val="center"/>
          </w:tcPr>
          <w:p w14:paraId="42F5F980"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 xml:space="preserve">                    4.16 </w:t>
            </w:r>
          </w:p>
        </w:tc>
        <w:tc>
          <w:tcPr>
            <w:tcW w:w="1559" w:type="dxa"/>
            <w:tcBorders>
              <w:top w:val="nil"/>
              <w:left w:val="single" w:sz="8" w:space="0" w:color="000000"/>
              <w:bottom w:val="single" w:sz="4" w:space="0" w:color="000000"/>
              <w:right w:val="single" w:sz="8" w:space="0" w:color="000000"/>
            </w:tcBorders>
            <w:shd w:val="clear" w:color="auto" w:fill="FFFFFF"/>
            <w:vAlign w:val="center"/>
          </w:tcPr>
          <w:p w14:paraId="71716C7A" w14:textId="77777777" w:rsidR="00FD3EAB" w:rsidRPr="003D090B" w:rsidRDefault="00FD3EAB" w:rsidP="00D06175">
            <w:pPr>
              <w:jc w:val="right"/>
              <w:rPr>
                <w:rFonts w:ascii="Monsserrat" w:hAnsi="Monsserrat"/>
                <w:b/>
                <w:color w:val="000000"/>
                <w:sz w:val="20"/>
                <w:szCs w:val="20"/>
              </w:rPr>
            </w:pPr>
            <w:r w:rsidRPr="003D090B">
              <w:rPr>
                <w:rFonts w:ascii="Monsserrat" w:hAnsi="Monsserrat"/>
                <w:b/>
                <w:color w:val="000000"/>
                <w:sz w:val="20"/>
                <w:szCs w:val="20"/>
              </w:rPr>
              <w:t xml:space="preserve">4.50 </w:t>
            </w:r>
          </w:p>
        </w:tc>
      </w:tr>
    </w:tbl>
    <w:p w14:paraId="11BB4C2A" w14:textId="77777777" w:rsidR="0010188D" w:rsidRDefault="0010188D" w:rsidP="00FD3EAB">
      <w:pPr>
        <w:spacing w:before="280" w:after="280"/>
        <w:jc w:val="both"/>
        <w:rPr>
          <w:rFonts w:ascii="Monsserrat" w:hAnsi="Monsserrat"/>
          <w:b/>
          <w:sz w:val="25"/>
          <w:szCs w:val="25"/>
        </w:rPr>
      </w:pPr>
    </w:p>
    <w:p w14:paraId="33F6088C" w14:textId="1CFC2F9D"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12. Calificaciones Otorgadas.</w:t>
      </w:r>
    </w:p>
    <w:p w14:paraId="00B2C399"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Las Agencias Calificadoras mejoran en la opinión del riesgo crediticio soberano del Estado de Oaxaca en el ejercicio fiscal 2021, para el segundo trimestre 2022, continúan en la misma posición sin manifestar alguna notificación que afectará la imagen crediticia del Estado. Las instituciones financieras aprueban y así mismo, emiten en buenos términos esta pronunciación y brindan la confianza por la solvencia financiera que el Estado representa para ellas.</w:t>
      </w:r>
    </w:p>
    <w:p w14:paraId="650664CD" w14:textId="77777777" w:rsidR="00FD3EAB" w:rsidRDefault="00FD3EAB" w:rsidP="00FD3EAB">
      <w:pPr>
        <w:spacing w:line="264" w:lineRule="auto"/>
        <w:contextualSpacing/>
        <w:jc w:val="both"/>
        <w:rPr>
          <w:rFonts w:ascii="Monsserrat" w:hAnsi="Monsserrat" w:cs="Arial"/>
          <w:kern w:val="2"/>
          <w:sz w:val="25"/>
          <w:szCs w:val="25"/>
        </w:rPr>
      </w:pPr>
    </w:p>
    <w:p w14:paraId="2CE7ADB3" w14:textId="77777777" w:rsidR="0010188D" w:rsidRPr="003D090B" w:rsidRDefault="0010188D" w:rsidP="00FD3EAB">
      <w:pPr>
        <w:spacing w:line="264" w:lineRule="auto"/>
        <w:contextualSpacing/>
        <w:jc w:val="both"/>
        <w:rPr>
          <w:rFonts w:ascii="Monsserrat" w:hAnsi="Monsserrat" w:cs="Arial"/>
          <w:kern w:val="2"/>
          <w:sz w:val="25"/>
          <w:szCs w:val="25"/>
        </w:rPr>
      </w:pPr>
    </w:p>
    <w:p w14:paraId="4155EA5C"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 calificadora Moody’s a través del área de Relación Comercial con Emisores anuncia sobre la migración de la calificadora Moody’s de México a la plataforma de </w:t>
      </w:r>
      <w:r w:rsidRPr="003D090B">
        <w:rPr>
          <w:rFonts w:ascii="Monsserrat" w:hAnsi="Monsserrat" w:cs="Arial"/>
          <w:kern w:val="2"/>
          <w:sz w:val="25"/>
          <w:szCs w:val="25"/>
        </w:rPr>
        <w:lastRenderedPageBreak/>
        <w:t>calificaciones locales Moody’s Local. Dicha migración tendrá un impacto tanto en la relación comercial como en la relación analítica. Además, con esta nueva modalidad de evaluar podría brindar una oportunidad para que el Estado logre una mejor calificación. Se espera que en la revisión próxima anual que se tiene programada para el mes de agosto del año en curso se pueda contar con una modificación positiva de la calificación soberana.</w:t>
      </w:r>
    </w:p>
    <w:p w14:paraId="180CA138" w14:textId="77777777" w:rsidR="00FD3EAB" w:rsidRPr="003D090B" w:rsidRDefault="00FD3EAB" w:rsidP="00FD3EAB">
      <w:pPr>
        <w:spacing w:line="264" w:lineRule="auto"/>
        <w:contextualSpacing/>
        <w:jc w:val="both"/>
        <w:rPr>
          <w:rFonts w:ascii="Monsserrat" w:hAnsi="Monsserrat" w:cs="Arial"/>
          <w:kern w:val="2"/>
          <w:sz w:val="25"/>
          <w:szCs w:val="25"/>
        </w:rPr>
      </w:pPr>
    </w:p>
    <w:p w14:paraId="379193FF"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Las agencias calificadoras como instituciones externas brindan una información principal relacionada con el riesgo crediticios financieros de las emisoras de valores, así como de las entidades federativas.</w:t>
      </w:r>
    </w:p>
    <w:p w14:paraId="66E76F62" w14:textId="77777777" w:rsidR="00FD3EAB" w:rsidRPr="003D090B" w:rsidRDefault="00FD3EAB" w:rsidP="00FD3EAB">
      <w:pPr>
        <w:spacing w:line="264" w:lineRule="auto"/>
        <w:contextualSpacing/>
        <w:jc w:val="both"/>
        <w:rPr>
          <w:rFonts w:ascii="Monsserrat" w:hAnsi="Monsserrat" w:cs="Arial"/>
          <w:kern w:val="2"/>
          <w:sz w:val="25"/>
          <w:szCs w:val="25"/>
        </w:rPr>
      </w:pPr>
    </w:p>
    <w:p w14:paraId="57A8E2F5"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El Estado de Oaxaca cumple con la norma de transparencia, informa a través de su página en internet para el conocimiento del público interesado anualmente los niveles de posición obtenidos al criterio de las agencias calificadoras mediante un sistema metodológico </w:t>
      </w:r>
      <w:proofErr w:type="gramStart"/>
      <w:r w:rsidRPr="003D090B">
        <w:rPr>
          <w:rFonts w:ascii="Monsserrat" w:hAnsi="Monsserrat" w:cs="Arial"/>
          <w:kern w:val="2"/>
          <w:sz w:val="25"/>
          <w:szCs w:val="25"/>
        </w:rPr>
        <w:t>de acuerdo a</w:t>
      </w:r>
      <w:proofErr w:type="gramEnd"/>
      <w:r w:rsidRPr="003D090B">
        <w:rPr>
          <w:rFonts w:ascii="Monsserrat" w:hAnsi="Monsserrat" w:cs="Arial"/>
          <w:kern w:val="2"/>
          <w:sz w:val="25"/>
          <w:szCs w:val="25"/>
        </w:rPr>
        <w:t xml:space="preserve"> los resultados de un ejercicio fiscal y de proyectos futuros que determinan la perspectiva social y económica.</w:t>
      </w:r>
    </w:p>
    <w:p w14:paraId="0517C17A" w14:textId="77777777" w:rsidR="00FD3EAB" w:rsidRPr="003D090B" w:rsidRDefault="00FD3EAB" w:rsidP="00FD3EAB">
      <w:pPr>
        <w:spacing w:line="264" w:lineRule="auto"/>
        <w:contextualSpacing/>
        <w:jc w:val="both"/>
        <w:rPr>
          <w:rFonts w:ascii="Monsserrat" w:hAnsi="Monsserrat" w:cs="Arial"/>
          <w:kern w:val="2"/>
          <w:sz w:val="25"/>
          <w:szCs w:val="25"/>
        </w:rPr>
      </w:pPr>
    </w:p>
    <w:p w14:paraId="7B660B15"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Es de suma importancia hacer mención que para el cierre del año fiscal 2021, las cuatro calificadoras coinciden en sus criterios sobre la solvencia financiera del estado de Oaxaca: Fitch,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Standard &amp; </w:t>
      </w:r>
      <w:proofErr w:type="spellStart"/>
      <w:r w:rsidRPr="003D090B">
        <w:rPr>
          <w:rFonts w:ascii="Monsserrat" w:hAnsi="Monsserrat" w:cs="Arial"/>
          <w:kern w:val="2"/>
          <w:sz w:val="25"/>
          <w:szCs w:val="25"/>
        </w:rPr>
        <w:t>Poor’s</w:t>
      </w:r>
      <w:proofErr w:type="spellEnd"/>
      <w:r w:rsidRPr="003D090B">
        <w:rPr>
          <w:rFonts w:ascii="Monsserrat" w:hAnsi="Monsserrat" w:cs="Arial"/>
          <w:kern w:val="2"/>
          <w:sz w:val="25"/>
          <w:szCs w:val="25"/>
        </w:rPr>
        <w:t xml:space="preserve"> y Moody’s han opinado sobre la calidad del riesgo crediticio que el Estado ha logrado como estrategia planteada, además, después de una estricta evaluación. Las cuatro en términos generales y particulares coinciden en opinar que el Estado cumple con sus obligaciones financieras ante cualquier adversidad económica, social y de estrés económico. lo antes dicho, para el Estado es una buena imagen para las instituciones financieras, inversionistas y la sociedad en general.  </w:t>
      </w:r>
    </w:p>
    <w:p w14:paraId="14C41373"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El logro de esta administración es bastante meritorio por armar una atinada estrategia de gestión y obtener los resultados en objetivos específicos planteados. Prueba de ello se refleja en la opinión de las instituciones externas que ponderan con mejorar las calificaciones de este año fiscal con respecto a los años anteriores: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modificó la calificación: de A- a </w:t>
      </w:r>
      <w:proofErr w:type="spellStart"/>
      <w:r w:rsidRPr="003D090B">
        <w:rPr>
          <w:rFonts w:ascii="Monsserrat" w:hAnsi="Monsserrat" w:cs="Arial"/>
          <w:kern w:val="2"/>
          <w:sz w:val="25"/>
          <w:szCs w:val="25"/>
        </w:rPr>
        <w:t>A</w:t>
      </w:r>
      <w:proofErr w:type="spellEnd"/>
      <w:r w:rsidRPr="003D090B">
        <w:rPr>
          <w:rFonts w:ascii="Monsserrat" w:hAnsi="Monsserrat" w:cs="Arial"/>
          <w:kern w:val="2"/>
          <w:sz w:val="25"/>
          <w:szCs w:val="25"/>
        </w:rPr>
        <w:t xml:space="preserve">. Perspectiva Estable. Fitch, ratifica la calificación de A- y modifica la perspectiva de Estable a Positiva. Standard &amp; </w:t>
      </w:r>
      <w:proofErr w:type="spellStart"/>
      <w:r w:rsidRPr="003D090B">
        <w:rPr>
          <w:rFonts w:ascii="Monsserrat" w:hAnsi="Monsserrat" w:cs="Arial"/>
          <w:kern w:val="2"/>
          <w:sz w:val="25"/>
          <w:szCs w:val="25"/>
        </w:rPr>
        <w:t>Poor’s</w:t>
      </w:r>
      <w:proofErr w:type="spellEnd"/>
      <w:r w:rsidRPr="003D090B">
        <w:rPr>
          <w:rFonts w:ascii="Monsserrat" w:hAnsi="Monsserrat" w:cs="Arial"/>
          <w:kern w:val="2"/>
          <w:sz w:val="25"/>
          <w:szCs w:val="25"/>
        </w:rPr>
        <w:t>, ratifica la calificación de A- y modifica la Perspectiva de Estable a Positiva y Moody’s, ratificó la calificación de Ba3/A3.mx (Cuya equivalencia es A-) y cambia la Perspectiva de Negativa a Estable.</w:t>
      </w:r>
    </w:p>
    <w:p w14:paraId="412AEF21" w14:textId="77777777" w:rsidR="00FD3EAB" w:rsidRPr="003D090B" w:rsidRDefault="00FD3EAB" w:rsidP="00FD3EAB">
      <w:pPr>
        <w:spacing w:line="264" w:lineRule="auto"/>
        <w:contextualSpacing/>
        <w:jc w:val="both"/>
        <w:rPr>
          <w:rFonts w:ascii="Monsserrat" w:hAnsi="Monsserrat" w:cs="Arial"/>
          <w:kern w:val="2"/>
          <w:sz w:val="25"/>
          <w:szCs w:val="25"/>
        </w:rPr>
      </w:pPr>
    </w:p>
    <w:p w14:paraId="2724A25A"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lastRenderedPageBreak/>
        <w:t>Fitch opina “Perspectiva Positiva: La modificación de la perspectiva resulta de una mejora en la combinación de los factores del perfil de riesgo debido a una valoración positiva de la sostenibilidad del gasto. La continuidad en las políticas del control del gasto permitió la modificación del atributo a ‘Rango Medio desde Más Débil’”</w:t>
      </w:r>
    </w:p>
    <w:p w14:paraId="4375169C" w14:textId="77777777" w:rsidR="00FD3EAB" w:rsidRPr="003D090B" w:rsidRDefault="00FD3EAB" w:rsidP="00FD3EAB">
      <w:pPr>
        <w:spacing w:line="264" w:lineRule="auto"/>
        <w:contextualSpacing/>
        <w:jc w:val="both"/>
        <w:rPr>
          <w:rFonts w:ascii="Monsserrat" w:hAnsi="Monsserrat" w:cs="Arial"/>
          <w:kern w:val="2"/>
          <w:sz w:val="25"/>
          <w:szCs w:val="25"/>
        </w:rPr>
      </w:pPr>
    </w:p>
    <w:p w14:paraId="7DF1362F"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Standard &amp; </w:t>
      </w:r>
      <w:proofErr w:type="spellStart"/>
      <w:r w:rsidRPr="003D090B">
        <w:rPr>
          <w:rFonts w:ascii="Monsserrat" w:hAnsi="Monsserrat" w:cs="Arial"/>
          <w:kern w:val="2"/>
          <w:sz w:val="25"/>
          <w:szCs w:val="25"/>
        </w:rPr>
        <w:t>Poor’s</w:t>
      </w:r>
      <w:proofErr w:type="spellEnd"/>
      <w:r w:rsidRPr="003D090B">
        <w:rPr>
          <w:rFonts w:ascii="Monsserrat" w:hAnsi="Monsserrat" w:cs="Arial"/>
          <w:kern w:val="2"/>
          <w:sz w:val="25"/>
          <w:szCs w:val="25"/>
        </w:rPr>
        <w:t xml:space="preserve"> “La calificación incorpora nuestra opinión de que Oaxaca mantendrá un nivel de endeudamiento muy bajo y una administración financiera en línea con sus pares nacionales.”</w:t>
      </w:r>
    </w:p>
    <w:p w14:paraId="29B8AF46" w14:textId="77777777" w:rsidR="00FD3EAB" w:rsidRPr="003D090B" w:rsidRDefault="00FD3EAB" w:rsidP="00FD3EAB">
      <w:pPr>
        <w:spacing w:line="264" w:lineRule="auto"/>
        <w:contextualSpacing/>
        <w:jc w:val="both"/>
        <w:rPr>
          <w:rFonts w:ascii="Monsserrat" w:hAnsi="Monsserrat" w:cs="Arial"/>
          <w:kern w:val="2"/>
          <w:sz w:val="25"/>
          <w:szCs w:val="25"/>
        </w:rPr>
      </w:pPr>
    </w:p>
    <w:p w14:paraId="2D28D032"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Moody’s “El cambio de perspectiva a estable de negativa refleja la capacidad del estado para minimizar el impacto crediticio generado por la presión de pandemia de coronavirus en sus indicadores fiscales principales. En 2020, Oaxaca mantuvo superávits operativos y resultados financieros balanceados, además de una posición de liquidez estable sin uso de la deuda de corto plazo, y se encuentran en camino a registrar resultados similares en 2021 y 2022.  Adicionalmente, el desarrollo de proyectos estratégicos de infraestructura podría impulsar la economía local del estado, lo que contribuiría aún más al crecimiento de los ingresos”</w:t>
      </w:r>
    </w:p>
    <w:p w14:paraId="11C7D7BF" w14:textId="77777777" w:rsidR="00FD3EAB" w:rsidRPr="003D090B" w:rsidRDefault="00FD3EAB" w:rsidP="00FD3EAB">
      <w:pPr>
        <w:spacing w:line="264" w:lineRule="auto"/>
        <w:contextualSpacing/>
        <w:jc w:val="both"/>
        <w:rPr>
          <w:rFonts w:ascii="Monsserrat" w:hAnsi="Monsserrat" w:cs="Arial"/>
          <w:kern w:val="2"/>
          <w:sz w:val="25"/>
          <w:szCs w:val="25"/>
        </w:rPr>
      </w:pPr>
    </w:p>
    <w:p w14:paraId="3AAC7C19" w14:textId="77777777" w:rsidR="00FD3EAB" w:rsidRPr="003D090B" w:rsidRDefault="00FD3EAB" w:rsidP="00FD3EAB">
      <w:pPr>
        <w:spacing w:line="264" w:lineRule="auto"/>
        <w:contextualSpacing/>
        <w:jc w:val="both"/>
        <w:rPr>
          <w:rFonts w:ascii="Monsserrat" w:hAnsi="Monsserrat" w:cs="Arial"/>
          <w:kern w:val="2"/>
          <w:sz w:val="25"/>
          <w:szCs w:val="25"/>
        </w:rPr>
      </w:pP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“El cambio de la calificación obedece a la baja en el nivel de endeudamiento del Estado, lo cual se debió al buen desempeño fiscal observado y con lo cual se observó la liquidación de los créditos de corto plazo con los que contaba la entidad.” </w:t>
      </w:r>
    </w:p>
    <w:p w14:paraId="0621B064" w14:textId="21FF5F26" w:rsidR="00FD3EAB" w:rsidRPr="003D090B" w:rsidRDefault="00FD3EAB" w:rsidP="00FD3EAB">
      <w:pPr>
        <w:spacing w:line="264" w:lineRule="auto"/>
        <w:contextualSpacing/>
        <w:jc w:val="center"/>
        <w:rPr>
          <w:rFonts w:ascii="Monsserrat" w:hAnsi="Monsserrat" w:cs="Arial"/>
          <w:kern w:val="2"/>
          <w:sz w:val="25"/>
          <w:szCs w:val="25"/>
        </w:rPr>
      </w:pPr>
      <w:r w:rsidRPr="003D090B">
        <w:rPr>
          <w:rFonts w:ascii="Monsserrat" w:hAnsi="Monsserrat"/>
          <w:noProof/>
          <w:sz w:val="25"/>
          <w:szCs w:val="25"/>
          <w:lang w:val="es-MX"/>
        </w:rPr>
        <mc:AlternateContent>
          <mc:Choice Requires="wps">
            <w:drawing>
              <wp:inline distT="0" distB="0" distL="0" distR="0" wp14:anchorId="0B999604" wp14:editId="1E1CDF16">
                <wp:extent cx="300355" cy="300355"/>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104B4" id="Rectángulo 1"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Pr="003D090B">
        <w:rPr>
          <w:rFonts w:ascii="Monsserrat" w:hAnsi="Monsserrat"/>
          <w:noProof/>
          <w:sz w:val="25"/>
          <w:szCs w:val="25"/>
          <w:lang w:val="es-MX"/>
        </w:rPr>
        <w:drawing>
          <wp:inline distT="0" distB="0" distL="0" distR="0" wp14:anchorId="54A71B58" wp14:editId="7D38D1E6">
            <wp:extent cx="4146550" cy="2809770"/>
            <wp:effectExtent l="0" t="0" r="6350" b="0"/>
            <wp:docPr id="98" name="Gráfico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151329" cy="2813009"/>
                    </a:xfrm>
                    <a:prstGeom prst="rect">
                      <a:avLst/>
                    </a:prstGeom>
                  </pic:spPr>
                </pic:pic>
              </a:graphicData>
            </a:graphic>
          </wp:inline>
        </w:drawing>
      </w:r>
    </w:p>
    <w:p w14:paraId="5CF1E7FB" w14:textId="77777777" w:rsidR="00C56C61" w:rsidRPr="003D090B" w:rsidRDefault="00C56C61" w:rsidP="00FD3EAB">
      <w:pPr>
        <w:spacing w:line="264" w:lineRule="auto"/>
        <w:contextualSpacing/>
        <w:jc w:val="center"/>
        <w:rPr>
          <w:rFonts w:ascii="Monsserrat" w:hAnsi="Monsserrat" w:cs="Arial"/>
          <w:kern w:val="2"/>
          <w:sz w:val="25"/>
          <w:szCs w:val="25"/>
        </w:rPr>
      </w:pPr>
    </w:p>
    <w:p w14:paraId="55788F9E"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noProof/>
          <w:kern w:val="2"/>
          <w:sz w:val="25"/>
          <w:szCs w:val="25"/>
          <w:lang w:val="es-MX"/>
        </w:rPr>
        <w:lastRenderedPageBreak/>
        <w:drawing>
          <wp:inline distT="0" distB="0" distL="0" distR="0" wp14:anchorId="4CA168CB" wp14:editId="673E0B43">
            <wp:extent cx="5652000" cy="1335992"/>
            <wp:effectExtent l="0" t="0" r="6350" b="0"/>
            <wp:docPr id="92" name="Imagen 92"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Tabla, Escala de tiem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000" cy="1335992"/>
                    </a:xfrm>
                    <a:prstGeom prst="rect">
                      <a:avLst/>
                    </a:prstGeom>
                    <a:noFill/>
                  </pic:spPr>
                </pic:pic>
              </a:graphicData>
            </a:graphic>
          </wp:inline>
        </w:drawing>
      </w:r>
    </w:p>
    <w:p w14:paraId="0D2A8F72" w14:textId="77777777" w:rsidR="00FD3EAB" w:rsidRPr="003D090B" w:rsidRDefault="00FD3EAB" w:rsidP="00FD3EAB">
      <w:pPr>
        <w:spacing w:line="264" w:lineRule="auto"/>
        <w:contextualSpacing/>
        <w:jc w:val="both"/>
        <w:rPr>
          <w:rFonts w:ascii="Monsserrat" w:hAnsi="Monsserrat" w:cs="Arial"/>
          <w:kern w:val="2"/>
          <w:sz w:val="25"/>
          <w:szCs w:val="25"/>
        </w:rPr>
      </w:pPr>
    </w:p>
    <w:p w14:paraId="34CDC33C"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Para el gobierno de Oaxaca es de mucha importancia ser evaluado por instituciones externas, caso especial, por Agencias Calificadoras que determinan el riesgo de cumplir con las obligaciones financieras y adecuarlas para no caer en una posibilidad de no pago lo cual generaría una imagen de bajo perfil en términos crediticios. La exigencia de cumplir con el requisito de ser evaluado por instituciones externas y otorgarle una calificación para acceder al mercado financiero en condiciones favorables de negociación, coadyuva con la propia profesionalización de la administración y transparencia de sus finanzas públicas.</w:t>
      </w:r>
    </w:p>
    <w:p w14:paraId="54C79ED3" w14:textId="77777777" w:rsidR="00FD3EAB" w:rsidRPr="003D090B" w:rsidRDefault="00FD3EAB" w:rsidP="00FD3EAB">
      <w:pPr>
        <w:spacing w:line="264" w:lineRule="auto"/>
        <w:contextualSpacing/>
        <w:jc w:val="both"/>
        <w:rPr>
          <w:rFonts w:ascii="Monsserrat" w:hAnsi="Monsserrat" w:cs="Arial"/>
          <w:kern w:val="2"/>
          <w:sz w:val="25"/>
          <w:szCs w:val="25"/>
        </w:rPr>
      </w:pPr>
    </w:p>
    <w:p w14:paraId="0924F02E"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Las cuatro instituciones enunciadas coinciden en emitir su criterio y declaran en términos generales sobre el riesgo crediticio del Estado que presenta una sólida capacidad de pago de intereses, así como del principal y es poco susceptible a cambios económicos, cuyo significado se entendería que ofrece seguridad para el pago de sus obligaciones contratadas, en otras palabras, las calificaciones emitidas, reflejan bajo riesgo y certeza de cumplimiento. </w:t>
      </w:r>
    </w:p>
    <w:p w14:paraId="691EBAEC" w14:textId="77777777" w:rsidR="00FD3EAB" w:rsidRPr="003D090B" w:rsidRDefault="00FD3EAB" w:rsidP="00FD3EAB">
      <w:pPr>
        <w:spacing w:line="264" w:lineRule="auto"/>
        <w:contextualSpacing/>
        <w:jc w:val="both"/>
        <w:rPr>
          <w:rFonts w:ascii="Monsserrat" w:hAnsi="Monsserrat" w:cs="Arial"/>
          <w:kern w:val="2"/>
          <w:sz w:val="25"/>
          <w:szCs w:val="25"/>
        </w:rPr>
      </w:pPr>
    </w:p>
    <w:p w14:paraId="5AF5E200"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 pandemia COVID-19 ha impactado a nivel mundial desde su aparición a fines de diciembre de 2019 hasta los momentos actuales. Lo más reciente es la velocidad de contagio que está generando a través de las variables mutaciones que ha infectado a un gran porcentaje de la humanidad mundial. Las medidas restrictivas necesarias para contener este mal, detienen en gran medida la actividad económica y por consiguiente se refleja en un crecimiento disminuido de la economía. </w:t>
      </w:r>
    </w:p>
    <w:p w14:paraId="25EBF3EA" w14:textId="77777777" w:rsidR="00FD3EAB" w:rsidRPr="003D090B" w:rsidRDefault="00FD3EAB" w:rsidP="00FD3EAB">
      <w:pPr>
        <w:spacing w:line="264" w:lineRule="auto"/>
        <w:contextualSpacing/>
        <w:jc w:val="both"/>
        <w:rPr>
          <w:rFonts w:ascii="Monsserrat" w:hAnsi="Monsserrat" w:cs="Arial"/>
          <w:kern w:val="2"/>
          <w:sz w:val="25"/>
          <w:szCs w:val="25"/>
        </w:rPr>
      </w:pPr>
    </w:p>
    <w:p w14:paraId="67F930A5"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Hasta donde se ha permitido, sea ha evitado interactuar de manera presencial sobre todo en actividades profesionales, como es el caso de las agencias calificadoras que tuvo que adecuarse a esta circunstancia para llevar a cabo las presentaciones de información para evaluar a las emisoras y entidades tal es el caso del Estado de Oaxaca, durante los días 28 y 29 de septiembre del año 2021, se realizó la reunión anual para la valoración del nivel crediticio y con la finalidad de ratificar o modificar </w:t>
      </w:r>
      <w:r w:rsidRPr="003D090B">
        <w:rPr>
          <w:rFonts w:ascii="Monsserrat" w:hAnsi="Monsserrat" w:cs="Arial"/>
          <w:kern w:val="2"/>
          <w:sz w:val="25"/>
          <w:szCs w:val="25"/>
        </w:rPr>
        <w:lastRenderedPageBreak/>
        <w:t>la calificación soberana, así como la perspectiva.  La impresión de los ejecutivos de las calificadoras fue muy buena por la información sobresaliente presentada ante ellos por parte del Secretario de Finanzas, consistente en un esquema bien estructurado para la captación de los ingresos propios, una buena estrategia del manejo de la deuda pública, buen control del gasto, (siendo así superavitario), se continuará para el año 2022 con los proyectos de inversión, avance en el combate  a la pobreza, generación de empleos, referente a la salud, control con todas las normas sanitarias para la erradicación de la pandemia de COVID-19.</w:t>
      </w:r>
    </w:p>
    <w:p w14:paraId="5DCC2592" w14:textId="77777777" w:rsidR="00FD3EAB" w:rsidRPr="003D090B" w:rsidRDefault="00FD3EAB" w:rsidP="00FD3EAB">
      <w:pPr>
        <w:spacing w:line="264" w:lineRule="auto"/>
        <w:contextualSpacing/>
        <w:jc w:val="both"/>
        <w:rPr>
          <w:rFonts w:ascii="Monsserrat" w:hAnsi="Monsserrat" w:cs="Arial"/>
          <w:kern w:val="2"/>
          <w:sz w:val="25"/>
          <w:szCs w:val="25"/>
        </w:rPr>
      </w:pPr>
    </w:p>
    <w:p w14:paraId="7BCA4700"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El efecto CORONAVIRUS ha golpeado al mundo entero a unos países más y a otros menos por la baja operatividad de todas las actividades económicas. México es uno de los países que han sufrido las consecuencias de esta parálisis parcial de la economía; por consiguiente, a las entidades federativas. Sin embargo, el Estado de Oaxaca ha conservado la calificación que venía registrando antes de la pandemia. </w:t>
      </w:r>
    </w:p>
    <w:p w14:paraId="1A12B999" w14:textId="77777777" w:rsidR="00FD3EAB" w:rsidRPr="003D090B" w:rsidRDefault="00FD3EAB" w:rsidP="00FD3EAB">
      <w:pPr>
        <w:spacing w:line="264" w:lineRule="auto"/>
        <w:contextualSpacing/>
        <w:jc w:val="both"/>
        <w:rPr>
          <w:rFonts w:ascii="Monsserrat" w:hAnsi="Monsserrat" w:cs="Arial"/>
          <w:kern w:val="2"/>
          <w:sz w:val="25"/>
          <w:szCs w:val="25"/>
        </w:rPr>
      </w:pPr>
    </w:p>
    <w:p w14:paraId="5B66D9F4"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mejora de la capacidad de pago de un gobierno estatal se ve reflejada en el incremento de su calificación crediticia, lo que se traduce en mejores condiciones financieras al contratar un empréstito, razón por la cual para los gobiernos locales es conveniente calificarse y conocer su solvencia financiera, además de ser un requisito normativo para tener acceso a los diversos mercados de deuda” (</w:t>
      </w:r>
      <w:proofErr w:type="spellStart"/>
      <w:r w:rsidRPr="003D090B">
        <w:rPr>
          <w:rFonts w:ascii="Monsserrat" w:hAnsi="Monsserrat" w:cs="Arial"/>
          <w:kern w:val="2"/>
          <w:sz w:val="25"/>
          <w:szCs w:val="25"/>
        </w:rPr>
        <w:t>INDETEC</w:t>
      </w:r>
      <w:proofErr w:type="spellEnd"/>
      <w:r w:rsidRPr="003D090B">
        <w:rPr>
          <w:rFonts w:ascii="Monsserrat" w:hAnsi="Monsserrat" w:cs="Arial"/>
          <w:kern w:val="2"/>
          <w:sz w:val="25"/>
          <w:szCs w:val="25"/>
        </w:rPr>
        <w:t xml:space="preserve">), así mismo, las entidades federativas cuentan como oportunidad de considerar las observaciones recomendadas por las agencias tomando en cuenta los escenarios tanto negativo como positivo que engloban las finanzas del Estado. </w:t>
      </w:r>
    </w:p>
    <w:p w14:paraId="13C44866" w14:textId="77777777" w:rsidR="00FD3EAB" w:rsidRPr="003D090B" w:rsidRDefault="00FD3EAB" w:rsidP="00FD3EAB">
      <w:pPr>
        <w:spacing w:line="264" w:lineRule="auto"/>
        <w:contextualSpacing/>
        <w:jc w:val="both"/>
        <w:rPr>
          <w:rFonts w:ascii="Monsserrat" w:hAnsi="Monsserrat" w:cs="Arial"/>
          <w:kern w:val="2"/>
          <w:sz w:val="25"/>
          <w:szCs w:val="25"/>
        </w:rPr>
      </w:pPr>
    </w:p>
    <w:p w14:paraId="6C1A33F7"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 opinión de una agencia calificadora suele tener una importancia relevante ante el mercado financiero, es el medio por el cual se basará para el otorgamiento de un financiamiento, la calificación emitida por parte de estas instituciones, confirman la calidad crediticia de la entidad federativa por la solvencia financiera como resultado del análisis de la deuda pública de corto y largo plazo contraída. </w:t>
      </w:r>
    </w:p>
    <w:p w14:paraId="44486C70" w14:textId="77777777" w:rsidR="00FD3EAB" w:rsidRPr="003D090B" w:rsidRDefault="00FD3EAB" w:rsidP="00FD3EAB">
      <w:pPr>
        <w:spacing w:line="264" w:lineRule="auto"/>
        <w:contextualSpacing/>
        <w:jc w:val="both"/>
        <w:rPr>
          <w:rFonts w:ascii="Monsserrat" w:hAnsi="Monsserrat" w:cs="Arial"/>
          <w:kern w:val="2"/>
          <w:sz w:val="25"/>
          <w:szCs w:val="25"/>
        </w:rPr>
      </w:pPr>
    </w:p>
    <w:p w14:paraId="2974D922"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Es el riesgo de no pago que se asume por el nivel de endeudamiento y la posibilidad de cubrir en tiempo y forma el costo de una deuda, además, esta calificación otorgada representada de forma literal por las agencias, hacen posible la reducción del servicio de la deuda por el nivel alcanzado. La calificación alta aplica una sobretasa baja y por consiguiente, la calificación baja aplica una sobretasa alta.</w:t>
      </w:r>
    </w:p>
    <w:p w14:paraId="02BABC08" w14:textId="77777777" w:rsidR="00FD3EAB" w:rsidRPr="003D090B" w:rsidRDefault="00FD3EAB" w:rsidP="00FD3EAB">
      <w:pPr>
        <w:spacing w:line="264" w:lineRule="auto"/>
        <w:contextualSpacing/>
        <w:jc w:val="both"/>
        <w:rPr>
          <w:rFonts w:ascii="Monsserrat" w:hAnsi="Monsserrat" w:cs="Arial"/>
          <w:kern w:val="2"/>
          <w:sz w:val="25"/>
          <w:szCs w:val="25"/>
        </w:rPr>
      </w:pPr>
    </w:p>
    <w:p w14:paraId="50CC27BE"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lastRenderedPageBreak/>
        <w:t xml:space="preserve">El Estado de Oaxaca, en su actuar trasparente, ha contratado el servicio profesional de cuatro agencias calificadoras encargadas de observar y determinar el riesgo crediticio en que se encuentra, en base a toda la información social, económica y la disciplina de una política financiera. La información reportada, ha servido como medida de comparación con sus pares nacionales cuyo resultado ha servido para mejorar la estrategia gubernamental. </w:t>
      </w:r>
    </w:p>
    <w:p w14:paraId="431D7DA4" w14:textId="77777777" w:rsidR="00FD3EAB" w:rsidRPr="0010188D" w:rsidRDefault="00FD3EAB" w:rsidP="00FD3EAB">
      <w:pPr>
        <w:spacing w:line="264" w:lineRule="auto"/>
        <w:contextualSpacing/>
        <w:jc w:val="both"/>
        <w:rPr>
          <w:rFonts w:ascii="Monsserrat" w:hAnsi="Monsserrat" w:cs="Arial"/>
          <w:kern w:val="2"/>
          <w:sz w:val="16"/>
          <w:szCs w:val="16"/>
        </w:rPr>
      </w:pPr>
    </w:p>
    <w:p w14:paraId="5D69D059"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interpretación del nivel de riesgo crediticio alcanzado se define como que el Estado de Oaxaca ofrece seguridad aceptable para el pago oportuno de las obligaciones de deuda, ya que mantiene bajo riesgo crediticio ante escenarios económicos adversos.</w:t>
      </w:r>
    </w:p>
    <w:p w14:paraId="3F6AC305" w14:textId="77777777" w:rsidR="00FD3EAB" w:rsidRPr="0010188D" w:rsidRDefault="00FD3EAB" w:rsidP="00FD3EAB">
      <w:pPr>
        <w:spacing w:line="264" w:lineRule="auto"/>
        <w:contextualSpacing/>
        <w:jc w:val="both"/>
        <w:rPr>
          <w:rFonts w:ascii="Monsserrat" w:hAnsi="Monsserrat" w:cs="Arial"/>
          <w:kern w:val="2"/>
          <w:sz w:val="16"/>
          <w:szCs w:val="16"/>
        </w:rPr>
      </w:pPr>
    </w:p>
    <w:p w14:paraId="7DC864BD"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Perspectiva Estable, evalúa la dirección potencial de crecimiento que se observa a largo plazo, para el Estado, se presentan dos eventos importantes que podría modificar la opinión de las calificadoras: la canalización de los recursos financieros autorizados por el H. Congreso del Estado recientemente como inversión productiva destinados para 100 proyectos y el caso de la fuerte inversión que se tiene en la mira para el sureste del país con el proyecto del Corredor Transístmico (Salina Cruz, Oaxaca-Coatzacoalcos, Veracruz). Considerando estos dos casos en mención, generarán el crecimiento económico esperado, que no solamente hará cambiar la perspectiva sino también la calificación.</w:t>
      </w:r>
    </w:p>
    <w:p w14:paraId="0BCDA345" w14:textId="77777777" w:rsidR="00FD3EAB" w:rsidRPr="0010188D" w:rsidRDefault="00FD3EAB" w:rsidP="00FD3EAB">
      <w:pPr>
        <w:spacing w:line="264" w:lineRule="auto"/>
        <w:contextualSpacing/>
        <w:jc w:val="both"/>
        <w:rPr>
          <w:rFonts w:ascii="Monsserrat" w:hAnsi="Monsserrat" w:cs="Arial"/>
          <w:kern w:val="2"/>
          <w:sz w:val="16"/>
          <w:szCs w:val="16"/>
        </w:rPr>
      </w:pPr>
    </w:p>
    <w:p w14:paraId="6AFD443D"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 mejora y ratificación de la calificación soberana del Estado, así mismo, de la perspectiva de </w:t>
      </w:r>
      <w:proofErr w:type="gramStart"/>
      <w:r w:rsidRPr="003D090B">
        <w:rPr>
          <w:rFonts w:ascii="Monsserrat" w:hAnsi="Monsserrat" w:cs="Arial"/>
          <w:kern w:val="2"/>
          <w:sz w:val="25"/>
          <w:szCs w:val="25"/>
        </w:rPr>
        <w:t>la misma</w:t>
      </w:r>
      <w:proofErr w:type="gramEnd"/>
      <w:r w:rsidRPr="003D090B">
        <w:rPr>
          <w:rFonts w:ascii="Monsserrat" w:hAnsi="Monsserrat" w:cs="Arial"/>
          <w:kern w:val="2"/>
          <w:sz w:val="25"/>
          <w:szCs w:val="25"/>
        </w:rPr>
        <w:t>, las agencias se basaron en las siguientes fortalezas:</w:t>
      </w:r>
    </w:p>
    <w:p w14:paraId="112FBE84" w14:textId="77777777" w:rsidR="00FD3EAB" w:rsidRPr="003D090B" w:rsidRDefault="00FD3EAB" w:rsidP="00FD3EAB">
      <w:pPr>
        <w:pStyle w:val="Prrafodelista"/>
        <w:numPr>
          <w:ilvl w:val="0"/>
          <w:numId w:val="37"/>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 xml:space="preserve">El perfil y la estructura favorable de la deuda directa de largo plazo y sostenibilidad adecuada. Se considera que el endeudamiento del Estado como moderado, en relación con su capacidad financiera y manejable para la entidad en el largo plazo. </w:t>
      </w:r>
    </w:p>
    <w:p w14:paraId="6FAC8639" w14:textId="77777777" w:rsidR="00FD3EAB" w:rsidRPr="003D090B" w:rsidRDefault="00FD3EAB" w:rsidP="00FD3EAB">
      <w:pPr>
        <w:pStyle w:val="Prrafodelista"/>
        <w:numPr>
          <w:ilvl w:val="0"/>
          <w:numId w:val="37"/>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Políticas fiscales y administrativas para mantener e incrementar los niveles de recaudación local.</w:t>
      </w:r>
    </w:p>
    <w:p w14:paraId="48A6225B" w14:textId="77777777" w:rsidR="00FD3EAB" w:rsidRPr="003D090B" w:rsidRDefault="00FD3EAB" w:rsidP="00FD3EAB">
      <w:pPr>
        <w:pStyle w:val="Prrafodelista"/>
        <w:numPr>
          <w:ilvl w:val="0"/>
          <w:numId w:val="37"/>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La generación adecuada de ahorro interno.</w:t>
      </w:r>
    </w:p>
    <w:p w14:paraId="2880DB65" w14:textId="77777777" w:rsidR="00FD3EAB" w:rsidRPr="003D090B" w:rsidRDefault="00FD3EAB" w:rsidP="00FD3EAB">
      <w:pPr>
        <w:pStyle w:val="Prrafodelista"/>
        <w:spacing w:line="264" w:lineRule="auto"/>
        <w:rPr>
          <w:rFonts w:ascii="Monsserrat" w:hAnsi="Monsserrat" w:cs="Arial"/>
          <w:kern w:val="2"/>
          <w:sz w:val="25"/>
          <w:szCs w:val="25"/>
        </w:rPr>
      </w:pPr>
    </w:p>
    <w:p w14:paraId="726D7F77" w14:textId="77777777" w:rsidR="00FD3EAB" w:rsidRPr="003D090B" w:rsidRDefault="00FD3EAB" w:rsidP="00FD3EAB">
      <w:pPr>
        <w:spacing w:line="264" w:lineRule="auto"/>
        <w:contextualSpacing/>
        <w:jc w:val="both"/>
        <w:rPr>
          <w:rFonts w:ascii="Monsserrat" w:hAnsi="Monsserrat" w:cs="Arial"/>
          <w:b/>
          <w:kern w:val="2"/>
          <w:sz w:val="25"/>
          <w:szCs w:val="25"/>
        </w:rPr>
      </w:pPr>
      <w:r w:rsidRPr="003D090B">
        <w:rPr>
          <w:rFonts w:ascii="Monsserrat" w:hAnsi="Monsserrat" w:cs="Arial"/>
          <w:b/>
          <w:kern w:val="2"/>
          <w:sz w:val="25"/>
          <w:szCs w:val="25"/>
        </w:rPr>
        <w:t>FITCH RATINGS (</w:t>
      </w:r>
      <w:proofErr w:type="gramStart"/>
      <w:r w:rsidRPr="003D090B">
        <w:rPr>
          <w:rFonts w:ascii="Monsserrat" w:hAnsi="Monsserrat" w:cs="Arial"/>
          <w:b/>
          <w:kern w:val="2"/>
          <w:sz w:val="25"/>
          <w:szCs w:val="25"/>
        </w:rPr>
        <w:t>Octubre</w:t>
      </w:r>
      <w:proofErr w:type="gramEnd"/>
      <w:r w:rsidRPr="003D090B">
        <w:rPr>
          <w:rFonts w:ascii="Monsserrat" w:hAnsi="Monsserrat" w:cs="Arial"/>
          <w:b/>
          <w:kern w:val="2"/>
          <w:sz w:val="25"/>
          <w:szCs w:val="25"/>
        </w:rPr>
        <w:t xml:space="preserve"> 05, 2021).</w:t>
      </w:r>
    </w:p>
    <w:p w14:paraId="6DBFE6E6" w14:textId="77777777" w:rsidR="00FD3EAB" w:rsidRPr="003D090B" w:rsidRDefault="00FD3EAB" w:rsidP="00FD3EAB">
      <w:pPr>
        <w:spacing w:line="264" w:lineRule="auto"/>
        <w:contextualSpacing/>
        <w:jc w:val="both"/>
        <w:rPr>
          <w:rFonts w:ascii="Monsserrat" w:hAnsi="Monsserrat" w:cs="Arial"/>
          <w:b/>
          <w:kern w:val="2"/>
          <w:sz w:val="25"/>
          <w:szCs w:val="25"/>
        </w:rPr>
      </w:pPr>
    </w:p>
    <w:p w14:paraId="7609EA55"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Fitch ratifica la calificación de largo plazo en escala nacional del estado de Oaxaca en 'A-(</w:t>
      </w:r>
      <w:proofErr w:type="spellStart"/>
      <w:r w:rsidRPr="003D090B">
        <w:rPr>
          <w:rFonts w:ascii="Monsserrat" w:hAnsi="Monsserrat" w:cs="Arial"/>
          <w:kern w:val="2"/>
          <w:sz w:val="25"/>
          <w:szCs w:val="25"/>
        </w:rPr>
        <w:t>mex</w:t>
      </w:r>
      <w:proofErr w:type="spellEnd"/>
      <w:r w:rsidRPr="003D090B">
        <w:rPr>
          <w:rFonts w:ascii="Monsserrat" w:hAnsi="Monsserrat" w:cs="Arial"/>
          <w:kern w:val="2"/>
          <w:sz w:val="25"/>
          <w:szCs w:val="25"/>
        </w:rPr>
        <w:t xml:space="preserve">)', y modifica la Perspectiva crediticia de Estable a Positiva, la agencia </w:t>
      </w:r>
      <w:r w:rsidRPr="003D090B">
        <w:rPr>
          <w:rFonts w:ascii="Monsserrat" w:hAnsi="Monsserrat" w:cs="Arial"/>
          <w:kern w:val="2"/>
          <w:sz w:val="25"/>
          <w:szCs w:val="25"/>
        </w:rPr>
        <w:lastRenderedPageBreak/>
        <w:t>calificadora para su análisis y evaluación lleva a la práctica una nueva metodología "Metodología de Calificación de Gobiernos Locales y Regionales".</w:t>
      </w:r>
    </w:p>
    <w:p w14:paraId="756FA48E" w14:textId="77777777" w:rsidR="00FD3EAB" w:rsidRPr="003D090B" w:rsidRDefault="00FD3EAB" w:rsidP="00FD3EAB">
      <w:pPr>
        <w:spacing w:line="264" w:lineRule="auto"/>
        <w:contextualSpacing/>
        <w:jc w:val="both"/>
        <w:rPr>
          <w:rFonts w:ascii="Monsserrat" w:hAnsi="Monsserrat" w:cs="Arial"/>
          <w:kern w:val="2"/>
          <w:sz w:val="25"/>
          <w:szCs w:val="25"/>
        </w:rPr>
      </w:pPr>
    </w:p>
    <w:p w14:paraId="5708C828"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modificación de la Perspectiva a Positiva desde Estable resulta de una mejora en la combinación de los factores del perfil de riesgo al mostrar una mejora en la sostenibilidad del gasto. La continuidad en las políticas de control del gasto permitió la revaloración del atributo a ‘Rango Medio’ desde ‘Mas Débil’.</w:t>
      </w:r>
    </w:p>
    <w:p w14:paraId="06F38804" w14:textId="77777777" w:rsidR="00FD3EAB" w:rsidRPr="003D090B" w:rsidRDefault="00FD3EAB" w:rsidP="00FD3EAB">
      <w:pPr>
        <w:spacing w:line="264" w:lineRule="auto"/>
        <w:contextualSpacing/>
        <w:jc w:val="both"/>
        <w:rPr>
          <w:rFonts w:ascii="Monsserrat" w:hAnsi="Monsserrat" w:cs="Arial"/>
          <w:kern w:val="2"/>
          <w:sz w:val="25"/>
          <w:szCs w:val="25"/>
        </w:rPr>
      </w:pPr>
    </w:p>
    <w:p w14:paraId="47B5C0FE"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ratificación en la calificación refleja la combinación del perfil de riesgo ‘Más Débil’ y una evaluación de sostenibilidad de la deuda de ‘AA’. En su escenario de calificación, Fitch estima una razón de repago menor a 5.0x y coberturas del servicio de la deuda entre 1.5x y 2.0x.</w:t>
      </w:r>
    </w:p>
    <w:p w14:paraId="22B9AB50" w14:textId="77777777" w:rsidR="00FD3EAB" w:rsidRPr="003D090B" w:rsidRDefault="00FD3EAB" w:rsidP="00FD3EAB">
      <w:pPr>
        <w:spacing w:line="264" w:lineRule="auto"/>
        <w:contextualSpacing/>
        <w:jc w:val="both"/>
        <w:rPr>
          <w:rFonts w:ascii="Monsserrat" w:hAnsi="Monsserrat" w:cs="Arial"/>
          <w:kern w:val="2"/>
          <w:sz w:val="25"/>
          <w:szCs w:val="25"/>
        </w:rPr>
      </w:pPr>
    </w:p>
    <w:p w14:paraId="47EDEA23"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El ingreso operativo (IO) está relacionado estrechamente con el desempeño de las transferencias nacionales provenientes de la contraparte soberana calificada en ‘</w:t>
      </w:r>
      <w:proofErr w:type="spellStart"/>
      <w:r w:rsidRPr="003D090B">
        <w:rPr>
          <w:rFonts w:ascii="Monsserrat" w:hAnsi="Monsserrat" w:cs="Arial"/>
          <w:kern w:val="2"/>
          <w:sz w:val="25"/>
          <w:szCs w:val="25"/>
        </w:rPr>
        <w:t>BBB</w:t>
      </w:r>
      <w:proofErr w:type="spellEnd"/>
      <w:r w:rsidRPr="003D090B">
        <w:rPr>
          <w:rFonts w:ascii="Monsserrat" w:hAnsi="Monsserrat" w:cs="Arial"/>
          <w:kern w:val="2"/>
          <w:sz w:val="25"/>
          <w:szCs w:val="25"/>
        </w:rPr>
        <w:t>-’. Fitch considera que el marco institucional de asignación de transferencias y su evolución son estables y predecibles.</w:t>
      </w:r>
    </w:p>
    <w:p w14:paraId="0D3C24E6" w14:textId="3EF2E4E9" w:rsidR="00FD3EAB" w:rsidRPr="003D090B" w:rsidRDefault="00FD3EAB" w:rsidP="00FD3EAB">
      <w:pPr>
        <w:spacing w:line="264" w:lineRule="auto"/>
        <w:contextualSpacing/>
        <w:jc w:val="both"/>
        <w:rPr>
          <w:rFonts w:ascii="Monsserrat" w:hAnsi="Monsserrat" w:cs="Arial"/>
          <w:kern w:val="2"/>
          <w:sz w:val="25"/>
          <w:szCs w:val="25"/>
        </w:rPr>
      </w:pPr>
    </w:p>
    <w:p w14:paraId="57603969" w14:textId="77777777" w:rsidR="00FD3EAB" w:rsidRPr="003D090B" w:rsidRDefault="00FD3EAB" w:rsidP="00FD3EAB">
      <w:pPr>
        <w:spacing w:line="264" w:lineRule="auto"/>
        <w:contextualSpacing/>
        <w:jc w:val="both"/>
        <w:rPr>
          <w:rFonts w:ascii="Monsserrat" w:hAnsi="Monsserrat" w:cs="Arial"/>
          <w:b/>
          <w:kern w:val="2"/>
          <w:sz w:val="25"/>
          <w:szCs w:val="25"/>
        </w:rPr>
      </w:pPr>
      <w:r w:rsidRPr="003D090B">
        <w:rPr>
          <w:rFonts w:ascii="Monsserrat" w:hAnsi="Monsserrat" w:cs="Arial"/>
          <w:b/>
          <w:kern w:val="2"/>
          <w:sz w:val="25"/>
          <w:szCs w:val="25"/>
        </w:rPr>
        <w:t>Factores claves de calificación:</w:t>
      </w:r>
    </w:p>
    <w:p w14:paraId="21875148" w14:textId="77777777" w:rsidR="00FD3EAB" w:rsidRPr="003D090B" w:rsidRDefault="00FD3EAB" w:rsidP="00FD3EAB">
      <w:pPr>
        <w:spacing w:line="264" w:lineRule="auto"/>
        <w:contextualSpacing/>
        <w:jc w:val="both"/>
        <w:rPr>
          <w:rFonts w:ascii="Monsserrat" w:hAnsi="Monsserrat" w:cs="Arial"/>
          <w:kern w:val="2"/>
          <w:sz w:val="25"/>
          <w:szCs w:val="25"/>
        </w:rPr>
      </w:pPr>
    </w:p>
    <w:p w14:paraId="5F45EC5B" w14:textId="77777777" w:rsidR="00FD3EAB" w:rsidRPr="003D090B" w:rsidRDefault="00FD3EAB" w:rsidP="00FD3EAB">
      <w:pPr>
        <w:pStyle w:val="Prrafodelista"/>
        <w:numPr>
          <w:ilvl w:val="0"/>
          <w:numId w:val="38"/>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Solidez de los ingresos. - Fitch considera que el marco institucional de la fuente principal de ingresos del Estado, correspondiente a la asignación de transferencias y su evolución, es estable y predecible. La fortaleza recaudatoria es limitada, lo cual se explica por el empleo formal bajo y los niveles de riqueza muy inferior al promedio nacional. La dependencia del Estado con respecto a las transferencias federales es muy alta.</w:t>
      </w:r>
    </w:p>
    <w:p w14:paraId="1889378D" w14:textId="77777777" w:rsidR="00FD3EAB" w:rsidRPr="003D090B" w:rsidRDefault="00FD3EAB" w:rsidP="00FD3EAB">
      <w:pPr>
        <w:pStyle w:val="Prrafodelista"/>
        <w:numPr>
          <w:ilvl w:val="0"/>
          <w:numId w:val="38"/>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Adaptabilidad de los ingresos. - Los ingresos dependen sustancialmente de las transferencias nacionales, esta característica estructural corresponde a la mayoría de las entidades federativas.</w:t>
      </w:r>
    </w:p>
    <w:p w14:paraId="6324E38D" w14:textId="77777777" w:rsidR="00FD3EAB" w:rsidRPr="003D090B" w:rsidRDefault="00FD3EAB" w:rsidP="00FD3EAB">
      <w:pPr>
        <w:pStyle w:val="Prrafodelista"/>
        <w:numPr>
          <w:ilvl w:val="0"/>
          <w:numId w:val="38"/>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Adaptabilidad de Gastos – ‘Más Débil’ Si bien en México existe una regulación de la disciplina financiera para las entidades subnacionales, en general, Fitch considera que aún carece de una trayectoria sólida en su aplicación. El gasto de capital de Oaxaca absorbió 7.6% del gasto total en promedio entre 2016 a 2020 (2020: 6.8%), lo cual evidencia una proporción alta de costos inflexibles y una capacidad baja para realizar inversión.</w:t>
      </w:r>
    </w:p>
    <w:p w14:paraId="193A956E" w14:textId="77777777" w:rsidR="00FD3EAB" w:rsidRPr="003D090B" w:rsidRDefault="00FD3EAB" w:rsidP="00FD3EAB">
      <w:pPr>
        <w:pStyle w:val="Prrafodelista"/>
        <w:numPr>
          <w:ilvl w:val="0"/>
          <w:numId w:val="38"/>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lastRenderedPageBreak/>
        <w:t>Solidez de los pasivos y la liquidez. - Fitch considera que el marco nacional para la gestión de la deuda y la liquidez es moderado. El Estado de Oaxaca, según el sistema de Alertas de la Secretaría de Hacienda y Crédito Público está clasificado su endeudamiento en observación. Presenta una política de endeudamiento prudente, aunque restringida por las políticas de contingencia y liquidez limitada que se acentúan por la exposición considerable a los desastres naturales.</w:t>
      </w:r>
    </w:p>
    <w:p w14:paraId="77836471" w14:textId="77777777" w:rsidR="00FD3EAB" w:rsidRPr="003D090B" w:rsidRDefault="00FD3EAB" w:rsidP="00FD3EAB">
      <w:pPr>
        <w:pStyle w:val="Prrafodelista"/>
        <w:numPr>
          <w:ilvl w:val="0"/>
          <w:numId w:val="38"/>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 xml:space="preserve">Flexibilidad de los pasivos y la liquidez. - La liquidez del Estado ha sido históricamente limitada durante los últimos tres años, el efectivo disponible </w:t>
      </w:r>
      <w:proofErr w:type="gramStart"/>
      <w:r w:rsidRPr="003D090B">
        <w:rPr>
          <w:rFonts w:ascii="Monsserrat" w:hAnsi="Monsserrat" w:cs="Arial"/>
          <w:kern w:val="2"/>
          <w:sz w:val="25"/>
          <w:szCs w:val="25"/>
        </w:rPr>
        <w:t>en relación a</w:t>
      </w:r>
      <w:proofErr w:type="gramEnd"/>
      <w:r w:rsidRPr="003D090B">
        <w:rPr>
          <w:rFonts w:ascii="Monsserrat" w:hAnsi="Monsserrat" w:cs="Arial"/>
          <w:kern w:val="2"/>
          <w:sz w:val="25"/>
          <w:szCs w:val="25"/>
        </w:rPr>
        <w:t xml:space="preserve"> la deuda de corto plazo y el pasivo circulante.</w:t>
      </w:r>
    </w:p>
    <w:p w14:paraId="06B127D5" w14:textId="77777777" w:rsidR="00FD3EAB" w:rsidRPr="003D090B" w:rsidRDefault="00FD3EAB" w:rsidP="00FD3EAB">
      <w:pPr>
        <w:pStyle w:val="Prrafodelista"/>
        <w:numPr>
          <w:ilvl w:val="0"/>
          <w:numId w:val="38"/>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Evolución de la sostenibilidad de la deuda. - Bajo la metodología nueva para calificar gobiernos locales y regionales, Fitch clasifica a Oaxaca como tipo "B", debido a que cubre su servicio de deuda con su flujo anual de efectivo.</w:t>
      </w:r>
    </w:p>
    <w:p w14:paraId="5551D5B1" w14:textId="77777777" w:rsidR="00FD3EAB" w:rsidRPr="003D090B" w:rsidRDefault="00FD3EAB" w:rsidP="00FD3EAB">
      <w:pPr>
        <w:spacing w:line="264" w:lineRule="auto"/>
        <w:contextualSpacing/>
        <w:jc w:val="both"/>
        <w:rPr>
          <w:rFonts w:ascii="Monsserrat" w:hAnsi="Monsserrat" w:cs="Arial"/>
          <w:b/>
          <w:kern w:val="2"/>
          <w:sz w:val="25"/>
          <w:szCs w:val="25"/>
        </w:rPr>
      </w:pPr>
      <w:r w:rsidRPr="003D090B">
        <w:rPr>
          <w:rFonts w:ascii="Monsserrat" w:hAnsi="Monsserrat" w:cs="Arial"/>
          <w:b/>
          <w:kern w:val="2"/>
          <w:sz w:val="25"/>
          <w:szCs w:val="25"/>
        </w:rPr>
        <w:t>MOODY'S (</w:t>
      </w:r>
      <w:proofErr w:type="gramStart"/>
      <w:r w:rsidRPr="003D090B">
        <w:rPr>
          <w:rFonts w:ascii="Monsserrat" w:hAnsi="Monsserrat" w:cs="Arial"/>
          <w:b/>
          <w:kern w:val="2"/>
          <w:sz w:val="25"/>
          <w:szCs w:val="25"/>
        </w:rPr>
        <w:t>Diciembre</w:t>
      </w:r>
      <w:proofErr w:type="gramEnd"/>
      <w:r w:rsidRPr="003D090B">
        <w:rPr>
          <w:rFonts w:ascii="Monsserrat" w:hAnsi="Monsserrat" w:cs="Arial"/>
          <w:b/>
          <w:kern w:val="2"/>
          <w:sz w:val="25"/>
          <w:szCs w:val="25"/>
        </w:rPr>
        <w:t xml:space="preserve"> 01, 2021)</w:t>
      </w:r>
    </w:p>
    <w:p w14:paraId="3F7FD3CC" w14:textId="77777777" w:rsidR="00FD3EAB" w:rsidRPr="0010188D" w:rsidRDefault="00FD3EAB" w:rsidP="00FD3EAB">
      <w:pPr>
        <w:spacing w:line="264" w:lineRule="auto"/>
        <w:contextualSpacing/>
        <w:jc w:val="both"/>
        <w:rPr>
          <w:rFonts w:ascii="Monsserrat" w:hAnsi="Monsserrat" w:cs="Arial"/>
          <w:b/>
          <w:kern w:val="2"/>
          <w:sz w:val="16"/>
          <w:szCs w:val="16"/>
        </w:rPr>
      </w:pPr>
    </w:p>
    <w:p w14:paraId="25ED138D"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agencia calificadora Moody's, ratifica la calificación de riesgo crediticio de la deuda del estado de Oaxaca de Ba3/A3.mx y modifica la Perspectiva a Estable de Negativa.</w:t>
      </w:r>
    </w:p>
    <w:p w14:paraId="1313C4EB" w14:textId="77777777" w:rsidR="00FD3EAB" w:rsidRPr="0010188D" w:rsidRDefault="00FD3EAB" w:rsidP="00FD3EAB">
      <w:pPr>
        <w:spacing w:line="264" w:lineRule="auto"/>
        <w:contextualSpacing/>
        <w:jc w:val="both"/>
        <w:rPr>
          <w:rFonts w:ascii="Monsserrat" w:hAnsi="Monsserrat" w:cs="Arial"/>
          <w:kern w:val="2"/>
          <w:sz w:val="16"/>
          <w:szCs w:val="16"/>
        </w:rPr>
      </w:pPr>
    </w:p>
    <w:p w14:paraId="787623CA"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Moody’s fundamenta el cambio de perspectiva a estable desde negativa refiriéndose a la capacidad del estado para minimizar el impacto crediticio generado por la presión de la pandemia de coronavirus en sus indicadores fiscales principales. Además, en 2020, Oaxaca mantuvo superávits operativos y resultados financieros balanceados, así mismo, de una posición de liquidez estable sin el uso de deuda de corto plazo, y se encuentra en camino a registrar resultados similares en 2021 y 2022. Adicionalmente, el desarrollo de proyectos estratégicos de infraestructura podría impulsar la economía local del estado, lo que contribuirá aún más al crecimiento de los ingresos.</w:t>
      </w:r>
    </w:p>
    <w:p w14:paraId="6747F3F7" w14:textId="77777777" w:rsidR="00FD3EAB" w:rsidRPr="0010188D" w:rsidRDefault="00FD3EAB" w:rsidP="00FD3EAB">
      <w:pPr>
        <w:spacing w:line="264" w:lineRule="auto"/>
        <w:contextualSpacing/>
        <w:jc w:val="both"/>
        <w:rPr>
          <w:rFonts w:ascii="Monsserrat" w:hAnsi="Monsserrat" w:cs="Arial"/>
          <w:kern w:val="2"/>
          <w:sz w:val="16"/>
          <w:szCs w:val="16"/>
        </w:rPr>
      </w:pPr>
    </w:p>
    <w:p w14:paraId="4E674709"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 calificadora Moody’s fundamenta y afirma las calificaciones de Oaxaca en Ba3/A3.mx refleja una baja recaudación de ingresos propios y niveles de deuda manejables (dado que toda la deuda está respaldada por transferencias federales) pero altos; sin embargo, Moody's espera que la deuda disminuya, ya que el estado no tiene planes de adquirir deuda de corto o largo plazo. En 2020, la recaudación de ingresos propios de Oaxaca y la deuda directa e indirecta neta a ingresos operativos fueron equivalentes al 13% y 60.2%, cifras que se comparan negativamente con otros pares mexicanos calificados en Ba3 de 13.9% y 36.7%. Las calificaciones también reflejan una economía relativamente pobre. Si bien el estado mejoró su índice de </w:t>
      </w:r>
      <w:r w:rsidRPr="003D090B">
        <w:rPr>
          <w:rFonts w:ascii="Monsserrat" w:hAnsi="Monsserrat" w:cs="Arial"/>
          <w:kern w:val="2"/>
          <w:sz w:val="25"/>
          <w:szCs w:val="25"/>
        </w:rPr>
        <w:lastRenderedPageBreak/>
        <w:t>pobreza en 2020 a 61.7% en comparación con el 64.3% de 2018, este nivel continúa comparándose desfavorablemente con el índice nacional de 43.9%.</w:t>
      </w:r>
      <w:r w:rsidRPr="003D090B">
        <w:rPr>
          <w:rFonts w:ascii="Monsserrat" w:hAnsi="Monsserrat" w:cs="Arial"/>
          <w:kern w:val="2"/>
          <w:sz w:val="25"/>
          <w:szCs w:val="25"/>
        </w:rPr>
        <w:cr/>
      </w:r>
    </w:p>
    <w:p w14:paraId="6B1D0B38"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“FACTORES QUE PODRÍAN GENERAR UN ALZA O UNA BAJA DE LAS CALIFICACIONES. Si el estado logra fortalecer continuamente su liquidez y mantener balances operativos y financieros positivos, las calificaciones podrían enfrentar una presión positiva. Por el contrario, si los balances operativos y financieros se deterioran drásticamente y se produce una disminución significativa de la liquidez junto con uso de deuda de corto plazo, las calificaciones podrían enfrentar presiones negativas”.</w:t>
      </w:r>
    </w:p>
    <w:p w14:paraId="54445336" w14:textId="77777777" w:rsidR="00FD3EAB" w:rsidRPr="003D090B" w:rsidRDefault="00FD3EAB" w:rsidP="00FD3EAB">
      <w:pPr>
        <w:spacing w:line="264" w:lineRule="auto"/>
        <w:contextualSpacing/>
        <w:jc w:val="both"/>
        <w:rPr>
          <w:rFonts w:ascii="Monsserrat" w:hAnsi="Monsserrat" w:cs="Arial"/>
          <w:kern w:val="2"/>
          <w:sz w:val="25"/>
          <w:szCs w:val="25"/>
        </w:rPr>
      </w:pPr>
    </w:p>
    <w:p w14:paraId="5C391FCC" w14:textId="77777777" w:rsidR="00FD3EAB" w:rsidRPr="003D090B" w:rsidRDefault="00FD3EAB" w:rsidP="00FD3EAB">
      <w:pPr>
        <w:spacing w:line="264" w:lineRule="auto"/>
        <w:contextualSpacing/>
        <w:jc w:val="both"/>
        <w:rPr>
          <w:rFonts w:ascii="Monsserrat" w:hAnsi="Monsserrat" w:cs="Arial"/>
          <w:b/>
          <w:kern w:val="2"/>
          <w:sz w:val="25"/>
          <w:szCs w:val="25"/>
        </w:rPr>
      </w:pPr>
      <w:proofErr w:type="spellStart"/>
      <w:r w:rsidRPr="003D090B">
        <w:rPr>
          <w:rFonts w:ascii="Monsserrat" w:hAnsi="Monsserrat" w:cs="Arial"/>
          <w:b/>
          <w:kern w:val="2"/>
          <w:sz w:val="25"/>
          <w:szCs w:val="25"/>
        </w:rPr>
        <w:t>HR</w:t>
      </w:r>
      <w:proofErr w:type="spellEnd"/>
      <w:r w:rsidRPr="003D090B">
        <w:rPr>
          <w:rFonts w:ascii="Monsserrat" w:hAnsi="Monsserrat" w:cs="Arial"/>
          <w:b/>
          <w:kern w:val="2"/>
          <w:sz w:val="25"/>
          <w:szCs w:val="25"/>
        </w:rPr>
        <w:t xml:space="preserve"> RATINGS (</w:t>
      </w:r>
      <w:proofErr w:type="gramStart"/>
      <w:r w:rsidRPr="003D090B">
        <w:rPr>
          <w:rFonts w:ascii="Monsserrat" w:hAnsi="Monsserrat" w:cs="Arial"/>
          <w:b/>
          <w:kern w:val="2"/>
          <w:sz w:val="25"/>
          <w:szCs w:val="25"/>
        </w:rPr>
        <w:t>Octubre</w:t>
      </w:r>
      <w:proofErr w:type="gramEnd"/>
      <w:r w:rsidRPr="003D090B">
        <w:rPr>
          <w:rFonts w:ascii="Monsserrat" w:hAnsi="Monsserrat" w:cs="Arial"/>
          <w:b/>
          <w:kern w:val="2"/>
          <w:sz w:val="25"/>
          <w:szCs w:val="25"/>
        </w:rPr>
        <w:t xml:space="preserve"> 25, 2021)</w:t>
      </w:r>
    </w:p>
    <w:p w14:paraId="1685C581" w14:textId="77777777" w:rsidR="00FD3EAB" w:rsidRPr="003D090B" w:rsidRDefault="00FD3EAB" w:rsidP="00FD3EAB">
      <w:pPr>
        <w:spacing w:line="264" w:lineRule="auto"/>
        <w:contextualSpacing/>
        <w:jc w:val="both"/>
        <w:rPr>
          <w:rFonts w:ascii="Monsserrat" w:hAnsi="Monsserrat" w:cs="Arial"/>
          <w:b/>
          <w:kern w:val="2"/>
          <w:sz w:val="25"/>
          <w:szCs w:val="25"/>
        </w:rPr>
      </w:pPr>
    </w:p>
    <w:p w14:paraId="24F6AB06"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La agencia Calificadora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Modifica la calificación de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A de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A</w:t>
      </w:r>
      <w:proofErr w:type="gramStart"/>
      <w:r w:rsidRPr="003D090B">
        <w:rPr>
          <w:rFonts w:ascii="Monsserrat" w:hAnsi="Monsserrat" w:cs="Arial"/>
          <w:kern w:val="2"/>
          <w:sz w:val="25"/>
          <w:szCs w:val="25"/>
        </w:rPr>
        <w:t>-  y</w:t>
      </w:r>
      <w:proofErr w:type="gramEnd"/>
      <w:r w:rsidRPr="003D090B">
        <w:rPr>
          <w:rFonts w:ascii="Monsserrat" w:hAnsi="Monsserrat" w:cs="Arial"/>
          <w:kern w:val="2"/>
          <w:sz w:val="25"/>
          <w:szCs w:val="25"/>
        </w:rPr>
        <w:t xml:space="preserve"> mantiene la Perspectiva de Estable. Una buena noticia para el Estado de Oaxaca y merecido reconocimiento para esta administración.</w:t>
      </w:r>
    </w:p>
    <w:p w14:paraId="260BD1C2" w14:textId="77777777" w:rsidR="00FD3EAB" w:rsidRPr="003D090B" w:rsidRDefault="00FD3EAB" w:rsidP="00FD3EAB">
      <w:pPr>
        <w:spacing w:line="264" w:lineRule="auto"/>
        <w:contextualSpacing/>
        <w:jc w:val="both"/>
        <w:rPr>
          <w:rFonts w:ascii="Monsserrat" w:hAnsi="Monsserrat" w:cs="Arial"/>
          <w:kern w:val="2"/>
          <w:sz w:val="25"/>
          <w:szCs w:val="25"/>
        </w:rPr>
      </w:pPr>
    </w:p>
    <w:p w14:paraId="2E7ACB61"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El cambio en la calificación obedece a la baja en el nivel de endeudamiento del Estado, lo cual se debió al buen desempeño fiscal observado y con lo cual se observó la liquidación de los créditos de corto plazo con los que contaba la Entidad.</w:t>
      </w:r>
    </w:p>
    <w:p w14:paraId="37D92227" w14:textId="77777777" w:rsidR="00FD3EAB" w:rsidRPr="0010188D" w:rsidRDefault="00FD3EAB" w:rsidP="00FD3EAB">
      <w:pPr>
        <w:spacing w:line="264" w:lineRule="auto"/>
        <w:contextualSpacing/>
        <w:jc w:val="both"/>
        <w:rPr>
          <w:rFonts w:ascii="Monsserrat" w:hAnsi="Monsserrat" w:cs="Arial"/>
          <w:kern w:val="2"/>
          <w:sz w:val="16"/>
          <w:szCs w:val="16"/>
        </w:rPr>
      </w:pPr>
    </w:p>
    <w:p w14:paraId="20000ACF" w14:textId="77777777" w:rsidR="00FD3EAB" w:rsidRPr="003D090B" w:rsidRDefault="00FD3EAB" w:rsidP="00FD3EAB">
      <w:pPr>
        <w:spacing w:line="264" w:lineRule="auto"/>
        <w:contextualSpacing/>
        <w:jc w:val="both"/>
        <w:rPr>
          <w:rFonts w:ascii="Monsserrat" w:hAnsi="Monsserrat" w:cs="Arial"/>
          <w:kern w:val="2"/>
          <w:sz w:val="25"/>
          <w:szCs w:val="25"/>
        </w:rPr>
      </w:pP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hace mención como una buena práctica de esta administración al determinar el uso reducido de la contratación de financiamiento de créditos a corto plazo lo que demuestra una solvencia de liquidez.</w:t>
      </w:r>
    </w:p>
    <w:p w14:paraId="3CAB7C78" w14:textId="77777777" w:rsidR="00FD3EAB" w:rsidRPr="0010188D" w:rsidRDefault="00FD3EAB" w:rsidP="00FD3EAB">
      <w:pPr>
        <w:spacing w:line="264" w:lineRule="auto"/>
        <w:contextualSpacing/>
        <w:jc w:val="both"/>
        <w:rPr>
          <w:rFonts w:ascii="Monsserrat" w:hAnsi="Monsserrat" w:cs="Arial"/>
          <w:kern w:val="2"/>
          <w:sz w:val="16"/>
          <w:szCs w:val="16"/>
        </w:rPr>
      </w:pPr>
    </w:p>
    <w:p w14:paraId="19D2D632"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Factores que podrían subir la calificación</w:t>
      </w:r>
    </w:p>
    <w:p w14:paraId="48700465" w14:textId="77777777" w:rsidR="00FD3EAB" w:rsidRPr="003D090B" w:rsidRDefault="00FD3EAB" w:rsidP="00FD3EAB">
      <w:pPr>
        <w:pStyle w:val="Prrafodelista"/>
        <w:numPr>
          <w:ilvl w:val="0"/>
          <w:numId w:val="40"/>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Mejora en los resultados fiscales. En caso de reportar un superávit fiscal por encima de lo esperado, se podría registrar un pago de Pasivo Circulante (PC). La calificación, se podría ver beneficiada si el Pasivo Circulante (PC) llega a niveles por debajo de 25.0% de los Ingresos de Libre Disposición (</w:t>
      </w:r>
      <w:proofErr w:type="spellStart"/>
      <w:r w:rsidRPr="003D090B">
        <w:rPr>
          <w:rFonts w:ascii="Monsserrat" w:hAnsi="Monsserrat" w:cs="Arial"/>
          <w:kern w:val="2"/>
          <w:sz w:val="25"/>
          <w:szCs w:val="25"/>
        </w:rPr>
        <w:t>ILD</w:t>
      </w:r>
      <w:proofErr w:type="spellEnd"/>
      <w:r w:rsidRPr="003D090B">
        <w:rPr>
          <w:rFonts w:ascii="Monsserrat" w:hAnsi="Monsserrat" w:cs="Arial"/>
          <w:kern w:val="2"/>
          <w:sz w:val="25"/>
          <w:szCs w:val="25"/>
        </w:rPr>
        <w:t xml:space="preserve">). Lo anterior, complementado con un nivel de la Deuda Neta (DN) a </w:t>
      </w:r>
      <w:proofErr w:type="spellStart"/>
      <w:r w:rsidRPr="003D090B">
        <w:rPr>
          <w:rFonts w:ascii="Monsserrat" w:hAnsi="Monsserrat" w:cs="Arial"/>
          <w:kern w:val="2"/>
          <w:sz w:val="25"/>
          <w:szCs w:val="25"/>
        </w:rPr>
        <w:t>ILD</w:t>
      </w:r>
      <w:proofErr w:type="spellEnd"/>
      <w:r w:rsidRPr="003D090B">
        <w:rPr>
          <w:rFonts w:ascii="Monsserrat" w:hAnsi="Monsserrat" w:cs="Arial"/>
          <w:kern w:val="2"/>
          <w:sz w:val="25"/>
          <w:szCs w:val="25"/>
        </w:rPr>
        <w:t xml:space="preserve"> por debajo del 65.0%.</w:t>
      </w:r>
    </w:p>
    <w:p w14:paraId="0C65746E"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Factores que podrían bajar la calificación</w:t>
      </w:r>
    </w:p>
    <w:p w14:paraId="2B305C5B" w14:textId="77777777" w:rsidR="00FD3EAB" w:rsidRPr="003D090B" w:rsidRDefault="00FD3EAB" w:rsidP="00FD3EAB">
      <w:pPr>
        <w:pStyle w:val="Prrafodelista"/>
        <w:numPr>
          <w:ilvl w:val="0"/>
          <w:numId w:val="39"/>
        </w:numPr>
        <w:spacing w:before="100" w:beforeAutospacing="1" w:after="100" w:afterAutospacing="1" w:line="264" w:lineRule="auto"/>
        <w:jc w:val="both"/>
        <w:rPr>
          <w:rFonts w:ascii="Monsserrat" w:hAnsi="Monsserrat" w:cs="Arial"/>
          <w:kern w:val="2"/>
          <w:sz w:val="25"/>
          <w:szCs w:val="25"/>
        </w:rPr>
      </w:pPr>
      <w:r w:rsidRPr="003D090B">
        <w:rPr>
          <w:rFonts w:ascii="Monsserrat" w:hAnsi="Monsserrat" w:cs="Arial"/>
          <w:kern w:val="2"/>
          <w:sz w:val="25"/>
          <w:szCs w:val="25"/>
        </w:rPr>
        <w:t xml:space="preserve">Desviación en el uso de deuda a corto plazo. Para los próximos años, no se considera la adquisición de deuda de corto plazo. Una desviación en este </w:t>
      </w:r>
      <w:r w:rsidRPr="003D090B">
        <w:rPr>
          <w:rFonts w:ascii="Monsserrat" w:hAnsi="Monsserrat" w:cs="Arial"/>
          <w:kern w:val="2"/>
          <w:sz w:val="25"/>
          <w:szCs w:val="25"/>
        </w:rPr>
        <w:lastRenderedPageBreak/>
        <w:t>supuesto, que se traduzca en una Deuda Quirografaria a Deuda total por aproximadamente 11.0%, podría afectar de forma negativa la calificación crediticia.</w:t>
      </w:r>
    </w:p>
    <w:p w14:paraId="7953D1F7" w14:textId="77777777" w:rsidR="00FD3EAB" w:rsidRPr="003D090B" w:rsidRDefault="00FD3EAB" w:rsidP="00FD3EAB">
      <w:pPr>
        <w:spacing w:line="264" w:lineRule="auto"/>
        <w:contextualSpacing/>
        <w:jc w:val="both"/>
        <w:rPr>
          <w:rFonts w:ascii="Monsserrat" w:hAnsi="Monsserrat" w:cs="Arial"/>
          <w:kern w:val="2"/>
          <w:sz w:val="25"/>
          <w:szCs w:val="25"/>
        </w:rPr>
      </w:pP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coincide en la opinión a igual de otras agencias calificadoras, que la calidad de riesgo crediticio que observa el Estado de Oaxaca es bajo y que ha cumplido en tiempo y forma con las obligaciones financieras contraídas por muy adversa de la situación económica del país.</w:t>
      </w:r>
    </w:p>
    <w:p w14:paraId="1FAAF8CD" w14:textId="77777777" w:rsidR="00FD3EAB" w:rsidRPr="003D090B" w:rsidRDefault="00FD3EAB" w:rsidP="00FD3EAB">
      <w:pPr>
        <w:spacing w:line="264" w:lineRule="auto"/>
        <w:contextualSpacing/>
        <w:jc w:val="both"/>
        <w:rPr>
          <w:rFonts w:ascii="Monsserrat" w:hAnsi="Monsserrat" w:cs="Arial"/>
          <w:kern w:val="2"/>
          <w:sz w:val="25"/>
          <w:szCs w:val="25"/>
        </w:rPr>
      </w:pPr>
    </w:p>
    <w:p w14:paraId="7D17A4EA" w14:textId="77777777" w:rsidR="00FD3EAB" w:rsidRPr="003D090B" w:rsidRDefault="00FD3EAB" w:rsidP="00FD3EAB">
      <w:pPr>
        <w:spacing w:line="264" w:lineRule="auto"/>
        <w:contextualSpacing/>
        <w:jc w:val="both"/>
        <w:rPr>
          <w:rFonts w:ascii="Monsserrat" w:hAnsi="Monsserrat" w:cs="Arial"/>
          <w:kern w:val="2"/>
          <w:sz w:val="25"/>
          <w:szCs w:val="25"/>
        </w:rPr>
      </w:pPr>
    </w:p>
    <w:p w14:paraId="0F1E9A0D" w14:textId="77777777" w:rsidR="00FD3EAB" w:rsidRPr="003D090B" w:rsidRDefault="00FD3EAB" w:rsidP="00FD3EAB">
      <w:pPr>
        <w:spacing w:line="264" w:lineRule="auto"/>
        <w:contextualSpacing/>
        <w:jc w:val="both"/>
        <w:rPr>
          <w:rFonts w:ascii="Monsserrat" w:hAnsi="Monsserrat" w:cs="Arial"/>
          <w:b/>
          <w:kern w:val="2"/>
          <w:sz w:val="25"/>
          <w:szCs w:val="25"/>
        </w:rPr>
      </w:pPr>
      <w:r w:rsidRPr="003D090B">
        <w:rPr>
          <w:rFonts w:ascii="Monsserrat" w:hAnsi="Monsserrat" w:cs="Arial"/>
          <w:b/>
          <w:kern w:val="2"/>
          <w:sz w:val="25"/>
          <w:szCs w:val="25"/>
        </w:rPr>
        <w:t xml:space="preserve">STANDARD </w:t>
      </w:r>
      <w:r w:rsidRPr="003D090B">
        <w:rPr>
          <w:rFonts w:ascii="Monsserrat" w:hAnsi="Monsserrat" w:cs="Arial"/>
          <w:kern w:val="2"/>
          <w:sz w:val="25"/>
          <w:szCs w:val="25"/>
        </w:rPr>
        <w:t>&amp;</w:t>
      </w:r>
      <w:r w:rsidRPr="003D090B">
        <w:rPr>
          <w:rFonts w:ascii="Monsserrat" w:hAnsi="Monsserrat" w:cs="Arial"/>
          <w:b/>
          <w:kern w:val="2"/>
          <w:sz w:val="25"/>
          <w:szCs w:val="25"/>
        </w:rPr>
        <w:t xml:space="preserve"> </w:t>
      </w:r>
      <w:proofErr w:type="spellStart"/>
      <w:r w:rsidRPr="003D090B">
        <w:rPr>
          <w:rFonts w:ascii="Monsserrat" w:hAnsi="Monsserrat" w:cs="Arial"/>
          <w:b/>
          <w:kern w:val="2"/>
          <w:sz w:val="25"/>
          <w:szCs w:val="25"/>
        </w:rPr>
        <w:t>POOR’S</w:t>
      </w:r>
      <w:proofErr w:type="spellEnd"/>
      <w:r w:rsidRPr="003D090B">
        <w:rPr>
          <w:rFonts w:ascii="Monsserrat" w:hAnsi="Monsserrat" w:cs="Arial"/>
          <w:b/>
          <w:kern w:val="2"/>
          <w:sz w:val="25"/>
          <w:szCs w:val="25"/>
        </w:rPr>
        <w:t xml:space="preserve"> (</w:t>
      </w:r>
      <w:proofErr w:type="gramStart"/>
      <w:r w:rsidRPr="003D090B">
        <w:rPr>
          <w:rFonts w:ascii="Monsserrat" w:hAnsi="Monsserrat" w:cs="Arial"/>
          <w:b/>
          <w:kern w:val="2"/>
          <w:sz w:val="25"/>
          <w:szCs w:val="25"/>
        </w:rPr>
        <w:t>Noviembre</w:t>
      </w:r>
      <w:proofErr w:type="gramEnd"/>
      <w:r w:rsidRPr="003D090B">
        <w:rPr>
          <w:rFonts w:ascii="Monsserrat" w:hAnsi="Monsserrat" w:cs="Arial"/>
          <w:b/>
          <w:kern w:val="2"/>
          <w:sz w:val="25"/>
          <w:szCs w:val="25"/>
        </w:rPr>
        <w:t xml:space="preserve"> 22, 2021)</w:t>
      </w:r>
    </w:p>
    <w:p w14:paraId="24088DB6" w14:textId="77777777" w:rsidR="00FD3EAB" w:rsidRPr="003D090B" w:rsidRDefault="00FD3EAB" w:rsidP="00FD3EAB">
      <w:pPr>
        <w:spacing w:line="264" w:lineRule="auto"/>
        <w:contextualSpacing/>
        <w:jc w:val="both"/>
        <w:rPr>
          <w:rFonts w:ascii="Monsserrat" w:hAnsi="Monsserrat" w:cs="Arial"/>
          <w:b/>
          <w:kern w:val="2"/>
          <w:sz w:val="25"/>
          <w:szCs w:val="25"/>
        </w:rPr>
      </w:pPr>
    </w:p>
    <w:p w14:paraId="7731404D"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Standard &amp; </w:t>
      </w:r>
      <w:proofErr w:type="spellStart"/>
      <w:r w:rsidRPr="003D090B">
        <w:rPr>
          <w:rFonts w:ascii="Monsserrat" w:hAnsi="Monsserrat" w:cs="Arial"/>
          <w:kern w:val="2"/>
          <w:sz w:val="25"/>
          <w:szCs w:val="25"/>
        </w:rPr>
        <w:t>Poor’s</w:t>
      </w:r>
      <w:proofErr w:type="spellEnd"/>
      <w:r w:rsidRPr="003D090B">
        <w:rPr>
          <w:rFonts w:ascii="Monsserrat" w:hAnsi="Monsserrat" w:cs="Arial"/>
          <w:kern w:val="2"/>
          <w:sz w:val="25"/>
          <w:szCs w:val="25"/>
        </w:rPr>
        <w:t>, confirma calificación en escala nacional de ‘</w:t>
      </w:r>
      <w:proofErr w:type="spellStart"/>
      <w:r w:rsidRPr="003D090B">
        <w:rPr>
          <w:rFonts w:ascii="Monsserrat" w:hAnsi="Monsserrat" w:cs="Arial"/>
          <w:kern w:val="2"/>
          <w:sz w:val="25"/>
          <w:szCs w:val="25"/>
        </w:rPr>
        <w:t>mxA</w:t>
      </w:r>
      <w:proofErr w:type="spellEnd"/>
      <w:r w:rsidRPr="003D090B">
        <w:rPr>
          <w:rFonts w:ascii="Monsserrat" w:hAnsi="Monsserrat" w:cs="Arial"/>
          <w:kern w:val="2"/>
          <w:sz w:val="25"/>
          <w:szCs w:val="25"/>
        </w:rPr>
        <w:t xml:space="preserve">-’ del Estado de Oaxaca; la Perspectiva la modifica a Positiva de Estable. </w:t>
      </w:r>
    </w:p>
    <w:p w14:paraId="377CCB3A" w14:textId="77777777" w:rsidR="00FD3EAB" w:rsidRPr="003D090B" w:rsidRDefault="00FD3EAB" w:rsidP="00FD3EAB">
      <w:pPr>
        <w:spacing w:line="264" w:lineRule="auto"/>
        <w:contextualSpacing/>
        <w:jc w:val="both"/>
        <w:rPr>
          <w:rFonts w:ascii="Monsserrat" w:hAnsi="Monsserrat" w:cs="Arial"/>
          <w:kern w:val="2"/>
          <w:sz w:val="25"/>
          <w:szCs w:val="25"/>
        </w:rPr>
      </w:pPr>
    </w:p>
    <w:p w14:paraId="498D3049"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 xml:space="preserve">Standard &amp; </w:t>
      </w:r>
      <w:proofErr w:type="spellStart"/>
      <w:r w:rsidRPr="003D090B">
        <w:rPr>
          <w:rFonts w:ascii="Monsserrat" w:hAnsi="Monsserrat" w:cs="Arial"/>
          <w:kern w:val="2"/>
          <w:sz w:val="25"/>
          <w:szCs w:val="25"/>
        </w:rPr>
        <w:t>Poor’s</w:t>
      </w:r>
      <w:proofErr w:type="spellEnd"/>
      <w:r w:rsidRPr="003D090B">
        <w:rPr>
          <w:rFonts w:ascii="Monsserrat" w:hAnsi="Monsserrat" w:cs="Arial"/>
          <w:kern w:val="2"/>
          <w:sz w:val="25"/>
          <w:szCs w:val="25"/>
        </w:rPr>
        <w:t>, ratifica calificación en espera de que el Estado de Oaxaca mantendrá un nivel de endeudamiento muy bajo y una administración financiera en línea con sus pares nacionales. Hace la observación que el desempeño presupuestal de Oaxaca se ve limitado por su alta dependencia de las transferencias federales y la flexibilidad limitada debido a la rigidez del gasto. Se refiere sobre la posición de liquidez limitada, del producto interno bruto (PIB) per cápita por debajo del promedio de sus pares y las limitadas expectativas de crecimiento económico continúan limitando la calificación. Al igual que el resto de los estados mexicanos.</w:t>
      </w:r>
    </w:p>
    <w:p w14:paraId="48822D8C" w14:textId="77777777" w:rsidR="00FD3EAB" w:rsidRPr="003D090B" w:rsidRDefault="00FD3EAB" w:rsidP="00FD3EAB">
      <w:pPr>
        <w:spacing w:line="264" w:lineRule="auto"/>
        <w:contextualSpacing/>
        <w:jc w:val="both"/>
        <w:rPr>
          <w:rFonts w:ascii="Monsserrat" w:hAnsi="Monsserrat" w:cs="Arial"/>
          <w:kern w:val="2"/>
          <w:sz w:val="25"/>
          <w:szCs w:val="25"/>
        </w:rPr>
      </w:pPr>
    </w:p>
    <w:p w14:paraId="451A2335"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La calificadora modificó la perspectiva a positiva que refleja la expectativa de que podría subir la calificación en los 12 a 18 meses, si el Estado mantiene políticas financieras disciplinadas aunado a un historial de mejora en su desempeño presupuestal, lo que fortalecerá paulatinamente su posición de liquidez. Lo anterior aunado a una continuidad en las prácticas financieras disciplinadas luego del cambio de administración en diciembre de 2022.</w:t>
      </w:r>
    </w:p>
    <w:p w14:paraId="16C58FCF" w14:textId="77777777" w:rsidR="00FD3EAB" w:rsidRPr="003D090B" w:rsidRDefault="00FD3EAB" w:rsidP="00FD3EAB">
      <w:pPr>
        <w:spacing w:line="264" w:lineRule="auto"/>
        <w:contextualSpacing/>
        <w:jc w:val="both"/>
        <w:rPr>
          <w:rFonts w:ascii="Monsserrat" w:hAnsi="Monsserrat" w:cs="Arial"/>
          <w:kern w:val="2"/>
          <w:sz w:val="25"/>
          <w:szCs w:val="25"/>
        </w:rPr>
      </w:pPr>
    </w:p>
    <w:p w14:paraId="342AACBA"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Escenario positivo. Existe la posibilidad de que la calificadora suba la calificación en los próximos 12 a 18 meses si el estado mantiene la disciplina presupuestal y esto se refleja en la continuidad de sólidos resultados financieros que se obligue a cubrir sus necesidades financieras con contrataciones deuda de corto plazo.</w:t>
      </w:r>
    </w:p>
    <w:p w14:paraId="64311BB5" w14:textId="77777777" w:rsidR="00FD3EAB" w:rsidRPr="003D090B" w:rsidRDefault="00FD3EAB" w:rsidP="00FD3EAB">
      <w:pPr>
        <w:spacing w:line="264" w:lineRule="auto"/>
        <w:contextualSpacing/>
        <w:jc w:val="both"/>
        <w:rPr>
          <w:rFonts w:ascii="Monsserrat" w:hAnsi="Monsserrat" w:cs="Arial"/>
          <w:kern w:val="2"/>
          <w:sz w:val="25"/>
          <w:szCs w:val="25"/>
        </w:rPr>
      </w:pPr>
    </w:p>
    <w:p w14:paraId="4B00DB2D"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lastRenderedPageBreak/>
        <w:t>Escenario negativo. La calificadora podría revisar la perspectiva a estable, en los siguientes 12 a 18 meses si la administración financiera no logra contener la presión del gasto operativo, lo que derivaría en una erosión de su desempeño presupuestal. Es probable que dicho escenario presione la posición de liquidez del Estado e incentive el uso de deuda de corto plazo</w:t>
      </w:r>
    </w:p>
    <w:p w14:paraId="7AE520D1" w14:textId="77777777" w:rsidR="00FD3EAB" w:rsidRPr="003D090B" w:rsidRDefault="00FD3EAB" w:rsidP="00FD3EAB">
      <w:pPr>
        <w:spacing w:line="264" w:lineRule="auto"/>
        <w:contextualSpacing/>
        <w:jc w:val="both"/>
        <w:rPr>
          <w:rFonts w:ascii="Monsserrat" w:hAnsi="Monsserrat" w:cs="Arial"/>
          <w:kern w:val="2"/>
          <w:sz w:val="25"/>
          <w:szCs w:val="25"/>
        </w:rPr>
      </w:pPr>
    </w:p>
    <w:p w14:paraId="4328D91A" w14:textId="77777777" w:rsidR="00FD3EAB" w:rsidRPr="003D090B" w:rsidRDefault="00FD3EAB" w:rsidP="00FD3EAB">
      <w:pPr>
        <w:spacing w:line="264" w:lineRule="auto"/>
        <w:contextualSpacing/>
        <w:jc w:val="both"/>
        <w:rPr>
          <w:rFonts w:ascii="Monsserrat" w:hAnsi="Monsserrat" w:cs="Arial"/>
          <w:b/>
          <w:kern w:val="2"/>
          <w:sz w:val="25"/>
          <w:szCs w:val="25"/>
        </w:rPr>
      </w:pPr>
      <w:r w:rsidRPr="003D090B">
        <w:rPr>
          <w:rFonts w:ascii="Monsserrat" w:hAnsi="Monsserrat" w:cs="Arial"/>
          <w:b/>
          <w:kern w:val="2"/>
          <w:sz w:val="25"/>
          <w:szCs w:val="25"/>
        </w:rPr>
        <w:t xml:space="preserve">CONCLUSIÓN: </w:t>
      </w:r>
    </w:p>
    <w:p w14:paraId="111D98EF" w14:textId="77777777" w:rsidR="00FD3EAB" w:rsidRPr="003D090B" w:rsidRDefault="00FD3EAB" w:rsidP="00FD3EAB">
      <w:pPr>
        <w:spacing w:line="264" w:lineRule="auto"/>
        <w:contextualSpacing/>
        <w:jc w:val="both"/>
        <w:rPr>
          <w:rFonts w:ascii="Monsserrat" w:hAnsi="Monsserrat" w:cs="Arial"/>
          <w:noProof/>
          <w:kern w:val="2"/>
          <w:sz w:val="25"/>
          <w:szCs w:val="25"/>
        </w:rPr>
      </w:pPr>
    </w:p>
    <w:p w14:paraId="3780BE2D" w14:textId="77777777" w:rsidR="00FD3EAB" w:rsidRPr="003D090B" w:rsidRDefault="00FD3EAB" w:rsidP="00FD3EAB">
      <w:pPr>
        <w:spacing w:line="264" w:lineRule="auto"/>
        <w:contextualSpacing/>
        <w:jc w:val="both"/>
        <w:rPr>
          <w:rFonts w:ascii="Monsserrat" w:hAnsi="Monsserrat" w:cs="Arial"/>
          <w:noProof/>
          <w:kern w:val="2"/>
          <w:sz w:val="25"/>
          <w:szCs w:val="25"/>
        </w:rPr>
      </w:pPr>
      <w:r w:rsidRPr="003D090B">
        <w:rPr>
          <w:rFonts w:ascii="Monsserrat" w:hAnsi="Monsserrat" w:cs="Arial"/>
          <w:noProof/>
          <w:kern w:val="2"/>
          <w:sz w:val="25"/>
          <w:szCs w:val="25"/>
        </w:rPr>
        <w:t>Durante esta administración se presentaron cambios de gran relevancia relacionados con la percepción de las agencias calificadoras sobre el riesgo crediticio del Estado de Oaxaca comparando las opiniones emitidas en el año 2016 y el año 2021. Las opiniones emitidas en el año 2021 reflejan modificaciones de gran significación de credibilidad financiera y socioeconómica, HR Ratings subió la calificación y todas mejoraron su opinión en la Perspectiva.</w:t>
      </w:r>
    </w:p>
    <w:p w14:paraId="610C8469" w14:textId="77777777" w:rsidR="00FD3EAB" w:rsidRPr="003D090B" w:rsidRDefault="00FD3EAB" w:rsidP="00FD3EAB">
      <w:pPr>
        <w:spacing w:line="264" w:lineRule="auto"/>
        <w:contextualSpacing/>
        <w:jc w:val="center"/>
        <w:rPr>
          <w:rFonts w:ascii="Monsserrat" w:hAnsi="Monsserrat" w:cs="Arial"/>
          <w:b/>
          <w:kern w:val="2"/>
          <w:sz w:val="25"/>
          <w:szCs w:val="25"/>
        </w:rPr>
      </w:pPr>
      <w:r w:rsidRPr="003D090B">
        <w:rPr>
          <w:rFonts w:ascii="Monsserrat" w:hAnsi="Monsserrat" w:cs="Arial"/>
          <w:b/>
          <w:noProof/>
          <w:kern w:val="2"/>
          <w:sz w:val="25"/>
          <w:szCs w:val="25"/>
          <w:lang w:val="es-MX"/>
        </w:rPr>
        <w:drawing>
          <wp:inline distT="0" distB="0" distL="0" distR="0" wp14:anchorId="5242E92C" wp14:editId="6BF82309">
            <wp:extent cx="4921846" cy="2593075"/>
            <wp:effectExtent l="0" t="0" r="0" b="0"/>
            <wp:docPr id="87" name="Imagen 87"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Escala de tiemp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6934" cy="2595755"/>
                    </a:xfrm>
                    <a:prstGeom prst="rect">
                      <a:avLst/>
                    </a:prstGeom>
                    <a:noFill/>
                  </pic:spPr>
                </pic:pic>
              </a:graphicData>
            </a:graphic>
          </wp:inline>
        </w:drawing>
      </w:r>
    </w:p>
    <w:p w14:paraId="38409599" w14:textId="77777777" w:rsidR="00FD3EAB" w:rsidRPr="003D090B" w:rsidRDefault="00FD3EAB" w:rsidP="00FD3EAB">
      <w:pPr>
        <w:spacing w:line="264" w:lineRule="auto"/>
        <w:contextualSpacing/>
        <w:jc w:val="both"/>
        <w:rPr>
          <w:rFonts w:ascii="Monsserrat" w:hAnsi="Monsserrat" w:cs="Arial"/>
          <w:b/>
          <w:kern w:val="2"/>
          <w:sz w:val="25"/>
          <w:szCs w:val="25"/>
        </w:rPr>
      </w:pPr>
    </w:p>
    <w:p w14:paraId="20B7E62D" w14:textId="77777777" w:rsidR="00FD3EAB" w:rsidRPr="003D090B" w:rsidRDefault="00FD3EAB" w:rsidP="00FD3EAB">
      <w:pPr>
        <w:spacing w:line="264" w:lineRule="auto"/>
        <w:contextualSpacing/>
        <w:jc w:val="both"/>
        <w:rPr>
          <w:rFonts w:ascii="Monsserrat" w:hAnsi="Monsserrat" w:cs="Arial"/>
          <w:kern w:val="2"/>
          <w:sz w:val="25"/>
          <w:szCs w:val="25"/>
        </w:rPr>
      </w:pPr>
    </w:p>
    <w:p w14:paraId="4A060CC9" w14:textId="77777777" w:rsidR="00FD3EAB" w:rsidRPr="003D090B" w:rsidRDefault="00FD3EAB" w:rsidP="00FD3EAB">
      <w:pPr>
        <w:spacing w:line="264" w:lineRule="auto"/>
        <w:contextualSpacing/>
        <w:jc w:val="both"/>
        <w:rPr>
          <w:rFonts w:ascii="Monsserrat" w:hAnsi="Monsserrat" w:cs="Arial"/>
          <w:kern w:val="2"/>
          <w:sz w:val="25"/>
          <w:szCs w:val="25"/>
        </w:rPr>
      </w:pPr>
      <w:r w:rsidRPr="003D090B">
        <w:rPr>
          <w:rFonts w:ascii="Monsserrat" w:hAnsi="Monsserrat" w:cs="Arial"/>
          <w:kern w:val="2"/>
          <w:sz w:val="25"/>
          <w:szCs w:val="25"/>
        </w:rPr>
        <w:t>Para el gobierno de Oaxaca es de mucha importancia ser evaluado por instituciones externas, caso especial, por Agencias Calificadoras que determinan el riesgo de cumplir con las obligaciones financieras y adecuarlas para no caer en una posibilidad de no pago lo cual generaría una imagen de bajo perfil en términos crediticios. La exigencia de cumplir con el requisito de ser evaluado por instituciones externas y otorgarle una calificación para acceder al mercado financiero en condiciones favorables de negociación, coadyuva con la propia profesionalización de la administración y transparencia de sus finanzas públicas.</w:t>
      </w:r>
    </w:p>
    <w:p w14:paraId="65255CF3" w14:textId="77777777" w:rsidR="00FD3EAB" w:rsidRPr="003D090B" w:rsidRDefault="00FD3EAB" w:rsidP="00FD3EAB">
      <w:pPr>
        <w:spacing w:line="264" w:lineRule="auto"/>
        <w:contextualSpacing/>
        <w:jc w:val="both"/>
        <w:rPr>
          <w:rFonts w:ascii="Monsserrat" w:hAnsi="Monsserrat" w:cs="Arial"/>
          <w:kern w:val="2"/>
          <w:sz w:val="25"/>
          <w:szCs w:val="25"/>
        </w:rPr>
      </w:pPr>
    </w:p>
    <w:p w14:paraId="656BBFA0" w14:textId="77777777" w:rsidR="00FD3EAB" w:rsidRPr="003D090B" w:rsidRDefault="00FD3EAB" w:rsidP="00FD3EAB">
      <w:pPr>
        <w:spacing w:line="264" w:lineRule="auto"/>
        <w:contextualSpacing/>
        <w:jc w:val="both"/>
        <w:rPr>
          <w:rFonts w:ascii="Monsserrat" w:hAnsi="Monsserrat"/>
          <w:sz w:val="25"/>
          <w:szCs w:val="25"/>
        </w:rPr>
      </w:pPr>
      <w:r w:rsidRPr="003D090B">
        <w:rPr>
          <w:rFonts w:ascii="Monsserrat" w:hAnsi="Monsserrat" w:cs="Arial"/>
          <w:kern w:val="2"/>
          <w:sz w:val="25"/>
          <w:szCs w:val="25"/>
        </w:rPr>
        <w:t xml:space="preserve">Al cierre del segundo trimestre de 2022, las calificadoras mantuvieron sus percepciones   y no presentaron modificaciones algunas. Está presente próximamente la revisión anual del riesgo crediticio del Estado de parte de estas instituciones. Por lo tanto, siguen vigentes las calificaciones emitidas para el conocimiento de los medios informativos, financieros y público en general interesados. Es muy </w:t>
      </w:r>
      <w:proofErr w:type="gramStart"/>
      <w:r w:rsidRPr="003D090B">
        <w:rPr>
          <w:rFonts w:ascii="Monsserrat" w:hAnsi="Monsserrat" w:cs="Arial"/>
          <w:kern w:val="2"/>
          <w:sz w:val="25"/>
          <w:szCs w:val="25"/>
        </w:rPr>
        <w:t>importante  la</w:t>
      </w:r>
      <w:proofErr w:type="gramEnd"/>
      <w:r w:rsidRPr="003D090B">
        <w:rPr>
          <w:rFonts w:ascii="Monsserrat" w:hAnsi="Monsserrat" w:cs="Arial"/>
          <w:kern w:val="2"/>
          <w:sz w:val="25"/>
          <w:szCs w:val="25"/>
        </w:rPr>
        <w:t xml:space="preserve"> interpretación que el tema implica.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Ratings, cambia la calificación al siguiente nivel superior de la escala de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A- a </w:t>
      </w:r>
      <w:proofErr w:type="spellStart"/>
      <w:r w:rsidRPr="003D090B">
        <w:rPr>
          <w:rFonts w:ascii="Monsserrat" w:hAnsi="Monsserrat" w:cs="Arial"/>
          <w:kern w:val="2"/>
          <w:sz w:val="25"/>
          <w:szCs w:val="25"/>
        </w:rPr>
        <w:t>HR</w:t>
      </w:r>
      <w:proofErr w:type="spellEnd"/>
      <w:r w:rsidRPr="003D090B">
        <w:rPr>
          <w:rFonts w:ascii="Monsserrat" w:hAnsi="Monsserrat" w:cs="Arial"/>
          <w:kern w:val="2"/>
          <w:sz w:val="25"/>
          <w:szCs w:val="25"/>
        </w:rPr>
        <w:t xml:space="preserve"> A y conserva la Perspectiva de Estable. Fitch, ratifica ‘A-(</w:t>
      </w:r>
      <w:proofErr w:type="spellStart"/>
      <w:r w:rsidRPr="003D090B">
        <w:rPr>
          <w:rFonts w:ascii="Monsserrat" w:hAnsi="Monsserrat" w:cs="Arial"/>
          <w:kern w:val="2"/>
          <w:sz w:val="25"/>
          <w:szCs w:val="25"/>
        </w:rPr>
        <w:t>mex</w:t>
      </w:r>
      <w:proofErr w:type="spellEnd"/>
      <w:r w:rsidRPr="003D090B">
        <w:rPr>
          <w:rFonts w:ascii="Monsserrat" w:hAnsi="Monsserrat" w:cs="Arial"/>
          <w:kern w:val="2"/>
          <w:sz w:val="25"/>
          <w:szCs w:val="25"/>
        </w:rPr>
        <w:t xml:space="preserve">)’ y cambia la Perspectiva de Estable a Positiva. Standard &amp; </w:t>
      </w:r>
      <w:proofErr w:type="spellStart"/>
      <w:r w:rsidRPr="003D090B">
        <w:rPr>
          <w:rFonts w:ascii="Monsserrat" w:hAnsi="Monsserrat" w:cs="Arial"/>
          <w:kern w:val="2"/>
          <w:sz w:val="25"/>
          <w:szCs w:val="25"/>
        </w:rPr>
        <w:t>Poor’s</w:t>
      </w:r>
      <w:proofErr w:type="spellEnd"/>
      <w:r w:rsidRPr="003D090B">
        <w:rPr>
          <w:rFonts w:ascii="Monsserrat" w:hAnsi="Monsserrat" w:cs="Arial"/>
          <w:kern w:val="2"/>
          <w:sz w:val="25"/>
          <w:szCs w:val="25"/>
        </w:rPr>
        <w:t>, mantiene ‘</w:t>
      </w:r>
      <w:proofErr w:type="spellStart"/>
      <w:r w:rsidRPr="003D090B">
        <w:rPr>
          <w:rFonts w:ascii="Monsserrat" w:hAnsi="Monsserrat" w:cs="Arial"/>
          <w:kern w:val="2"/>
          <w:sz w:val="25"/>
          <w:szCs w:val="25"/>
        </w:rPr>
        <w:t>mxA</w:t>
      </w:r>
      <w:proofErr w:type="spellEnd"/>
      <w:proofErr w:type="gramStart"/>
      <w:r w:rsidRPr="003D090B">
        <w:rPr>
          <w:rFonts w:ascii="Monsserrat" w:hAnsi="Monsserrat" w:cs="Arial"/>
          <w:kern w:val="2"/>
          <w:sz w:val="25"/>
          <w:szCs w:val="25"/>
        </w:rPr>
        <w:t>-‘ y</w:t>
      </w:r>
      <w:proofErr w:type="gramEnd"/>
      <w:r w:rsidRPr="003D090B">
        <w:rPr>
          <w:rFonts w:ascii="Monsserrat" w:hAnsi="Monsserrat" w:cs="Arial"/>
          <w:kern w:val="2"/>
          <w:sz w:val="25"/>
          <w:szCs w:val="25"/>
        </w:rPr>
        <w:t xml:space="preserve"> cambia la Perspectiva de Estable a Positiva y Moody’s, mantiene la calificación Ba3/A3,mx (Equivalente a A-) y cambia la perspectiva de Negativa a Estable. Las cuatro instituciones enunciadas coinciden en emitir su criterio y declaran en términos generales que el Estado presenta una sólida capacidad de pago de intereses, así como del principal y es poco susceptible a cambios económicos, cuyo significado se </w:t>
      </w:r>
      <w:proofErr w:type="gramStart"/>
      <w:r w:rsidRPr="003D090B">
        <w:rPr>
          <w:rFonts w:ascii="Monsserrat" w:hAnsi="Monsserrat" w:cs="Arial"/>
          <w:kern w:val="2"/>
          <w:sz w:val="25"/>
          <w:szCs w:val="25"/>
        </w:rPr>
        <w:t>traduce  que</w:t>
      </w:r>
      <w:proofErr w:type="gramEnd"/>
      <w:r w:rsidRPr="003D090B">
        <w:rPr>
          <w:rFonts w:ascii="Monsserrat" w:hAnsi="Monsserrat" w:cs="Arial"/>
          <w:kern w:val="2"/>
          <w:sz w:val="25"/>
          <w:szCs w:val="25"/>
        </w:rPr>
        <w:t xml:space="preserve"> el Estado ofrece seguridad para el pago de sus obligaciones contratadas, en otras palabras, las calificaciones emitidas, reflejan bajo riesgo y certeza de cumplimiento en todo momento.</w:t>
      </w:r>
    </w:p>
    <w:p w14:paraId="71A345CC" w14:textId="77777777" w:rsidR="00FD3EAB" w:rsidRPr="003D090B" w:rsidRDefault="00FD3EAB" w:rsidP="00FD3EAB">
      <w:pPr>
        <w:tabs>
          <w:tab w:val="left" w:pos="7845"/>
        </w:tabs>
        <w:spacing w:before="280" w:after="280"/>
        <w:jc w:val="both"/>
        <w:rPr>
          <w:rFonts w:ascii="Monsserrat" w:hAnsi="Monsserrat"/>
          <w:b/>
          <w:sz w:val="25"/>
          <w:szCs w:val="25"/>
        </w:rPr>
      </w:pPr>
      <w:r w:rsidRPr="003D090B">
        <w:rPr>
          <w:rFonts w:ascii="Monsserrat" w:hAnsi="Monsserrat"/>
          <w:b/>
          <w:sz w:val="25"/>
          <w:szCs w:val="25"/>
        </w:rPr>
        <w:t>13. Proceso de Mejora</w:t>
      </w:r>
    </w:p>
    <w:p w14:paraId="1FB999CC"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 xml:space="preserve">La política fiscal del Estado aplicada durante el primer semestre del año 2022, mantuvo el fortalecimiento de la recaudación, mediante una mayor eficiencia de la administración tributaria y la reducción de los espacios regulatorios que permitían esquemas de elusión y evasión fiscales, dando continuidad al compromiso de no incrementar, los impuestos vigentes ni crear nuevos gravámenes, manteniendo las finanzas públicas estables, como condición para una recuperación económica sostenida de largo plazo. </w:t>
      </w:r>
    </w:p>
    <w:p w14:paraId="2E4DF629" w14:textId="77777777" w:rsidR="00FD3EAB" w:rsidRPr="0010188D" w:rsidRDefault="00FD3EAB" w:rsidP="00FD3EAB">
      <w:pPr>
        <w:jc w:val="both"/>
        <w:rPr>
          <w:rFonts w:ascii="Monsserrat" w:eastAsia="Calibri" w:hAnsi="Monsserrat" w:cs="Calibri"/>
          <w:color w:val="000000"/>
          <w:sz w:val="16"/>
          <w:szCs w:val="16"/>
        </w:rPr>
      </w:pPr>
    </w:p>
    <w:p w14:paraId="7FE94E92"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La política económica y fiscal del Gobierno Federal ha incidido de manera positiva en el nivel estatal, si bien es cierto que el Producto Interno Bruto Estatal en el 2019 disminuyó en 1.3%, mientras que a nivel nacional se observó un crecimiento del 3.8%, en el 2020, la situación económica del Estado mejoró sustancialmente, con un crecimiento del 0.65%, mientras que el nacional tuvo una caída del 4.95% ocupando el tercer lugar en crecimiento del ¨PIBE a nivel nacional.</w:t>
      </w:r>
    </w:p>
    <w:p w14:paraId="3478226A" w14:textId="77777777" w:rsidR="00FD3EAB" w:rsidRPr="003D090B" w:rsidRDefault="00FD3EAB" w:rsidP="00FD3EAB">
      <w:pPr>
        <w:jc w:val="both"/>
        <w:rPr>
          <w:rFonts w:ascii="Monsserrat" w:eastAsia="Calibri" w:hAnsi="Monsserrat" w:cs="Calibri"/>
          <w:color w:val="000000"/>
          <w:sz w:val="25"/>
          <w:szCs w:val="25"/>
        </w:rPr>
      </w:pPr>
    </w:p>
    <w:p w14:paraId="7FCCFB38"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 xml:space="preserve">Para el 2021 el Indicador Trimestral de la Actividad Económica Estatal, que corresponde al Indicador de la Economía más reciente disponible, reporta que Oaxaca tiene un crecimiento del 1% del último trimestre del 2021 respecto al mismo periodo del 2020, el promedio nacional es de 2.5%. Sobresale Oaxaca en la actividad </w:t>
      </w:r>
      <w:r w:rsidRPr="003D090B">
        <w:rPr>
          <w:rFonts w:ascii="Monsserrat" w:eastAsia="Calibri" w:hAnsi="Monsserrat" w:cs="Calibri"/>
          <w:color w:val="000000"/>
          <w:sz w:val="25"/>
          <w:szCs w:val="25"/>
        </w:rPr>
        <w:lastRenderedPageBreak/>
        <w:t>primaria con un crecimiento del 8.5%, el crecimiento nacional fue de 4.7%, en la actividad secundaria tuvo una caída del 7.4%, el nacional fue de un crecimiento del 1.7%, en la actividad terciaria se observa un crecimiento del 3.2%, mientras que en el nacional el incremento fue de 0.2%.</w:t>
      </w:r>
    </w:p>
    <w:p w14:paraId="75CE94D1" w14:textId="77777777" w:rsidR="00FD3EAB" w:rsidRPr="003D090B" w:rsidRDefault="00FD3EAB" w:rsidP="00FD3EAB">
      <w:pPr>
        <w:jc w:val="both"/>
        <w:rPr>
          <w:rFonts w:ascii="Monsserrat" w:eastAsia="Calibri" w:hAnsi="Monsserrat" w:cs="Calibri"/>
          <w:color w:val="000000"/>
          <w:sz w:val="25"/>
          <w:szCs w:val="25"/>
        </w:rPr>
      </w:pPr>
    </w:p>
    <w:p w14:paraId="11301156"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Los logros obtenidos en los ingresos del Estado, a pesar de la pandemia y de los vaivenes del PIBE, se deben a una mejor eficiencia y eficacia recaudatoria, bancarización en los pagos de las contribuciones, fiscalización y cobro coactivo persistente.</w:t>
      </w:r>
    </w:p>
    <w:p w14:paraId="7C15CA02" w14:textId="77777777" w:rsidR="00FD3EAB" w:rsidRPr="003D090B" w:rsidRDefault="00FD3EAB" w:rsidP="00FD3EAB">
      <w:pPr>
        <w:jc w:val="both"/>
        <w:rPr>
          <w:rFonts w:ascii="Monsserrat" w:eastAsia="Calibri" w:hAnsi="Monsserrat" w:cs="Calibri"/>
          <w:color w:val="000000"/>
          <w:sz w:val="25"/>
          <w:szCs w:val="25"/>
        </w:rPr>
      </w:pPr>
    </w:p>
    <w:p w14:paraId="6AF3B0A6"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 xml:space="preserve">Estas acciones se han enfrentado de manera decidida pero responsable, el reto que significó durante el ejercicio 2020 causado por la pandemia del Covid-19, que tuvo sus repercusiones en el ejercicio fiscal 2021 y que aún se pueden percibir en el ejercicio 2022,  por lo que se implementó una estrategia definida, enfocada a acciones de atención de la ciudadanía, y orientando los esfuerzos a mitigar los impactos en la salud y la economía de los ciudadanos; de ello se puede afirmar sin lugar a dudas, reconociendo la complejidad del asunto, que los resultados fueron positivos. </w:t>
      </w:r>
    </w:p>
    <w:p w14:paraId="21CCCF4F" w14:textId="77777777" w:rsidR="00FD3EAB" w:rsidRPr="003D090B" w:rsidRDefault="00FD3EAB" w:rsidP="00FD3EAB">
      <w:pPr>
        <w:jc w:val="both"/>
        <w:rPr>
          <w:rFonts w:ascii="Monsserrat" w:eastAsia="Calibri" w:hAnsi="Monsserrat" w:cs="Calibri"/>
          <w:color w:val="000000"/>
          <w:sz w:val="25"/>
          <w:szCs w:val="25"/>
        </w:rPr>
      </w:pPr>
    </w:p>
    <w:p w14:paraId="4939DF0B"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Para medir el esfuerzo tributario se considera los rubros de impuestos y derechos estatales, en el ejercicio del 2021 respecto del 2020, se logró un crecimiento del 19.6%, mientras que el crecimiento observado a nivel nacional fue de 18.3%, estos indicadores son importantes debido a que son los que se consideran en la determinación de los coeficientes de distribución del Fondo General de Participaciones, es decir, al estar por arriba del promedio nacional se reciben más recursos por dicho Fondo.</w:t>
      </w:r>
    </w:p>
    <w:p w14:paraId="4C2E7E90" w14:textId="77777777" w:rsidR="00FD3EAB" w:rsidRPr="003D090B" w:rsidRDefault="00FD3EAB" w:rsidP="00FD3EAB">
      <w:pPr>
        <w:jc w:val="both"/>
        <w:rPr>
          <w:rFonts w:ascii="Monsserrat" w:eastAsia="Calibri" w:hAnsi="Monsserrat" w:cs="Calibri"/>
          <w:color w:val="000000"/>
          <w:sz w:val="25"/>
          <w:szCs w:val="25"/>
        </w:rPr>
      </w:pPr>
    </w:p>
    <w:p w14:paraId="2EBA44C9" w14:textId="77777777" w:rsidR="00FD3EAB" w:rsidRPr="003D090B" w:rsidRDefault="00FD3EAB" w:rsidP="00FD3EAB">
      <w:pPr>
        <w:jc w:val="both"/>
        <w:rPr>
          <w:rFonts w:ascii="Monsserrat" w:eastAsia="Calibri" w:hAnsi="Monsserrat" w:cs="Calibri"/>
          <w:color w:val="000000"/>
          <w:sz w:val="25"/>
          <w:szCs w:val="25"/>
        </w:rPr>
      </w:pPr>
      <w:r w:rsidRPr="003D090B">
        <w:rPr>
          <w:rFonts w:ascii="Monsserrat" w:eastAsia="Calibri" w:hAnsi="Monsserrat" w:cs="Calibri"/>
          <w:color w:val="000000"/>
          <w:sz w:val="25"/>
          <w:szCs w:val="25"/>
        </w:rPr>
        <w:t>En este primer semestre, la recaudación de los ingresos de gestión ha tenido un buen comportamiento respecto a lo presupuestado en la Ley de Ingresos presentando un crecimiento del 30.84 %, cifras muy por encima de la tasa de inflación y del deflactor implícito de la producción de bienes y servicios, y respecto al mismo periodo del ejercicio 2021 se tiene una disminución del 0.24 % en términos reales.</w:t>
      </w:r>
    </w:p>
    <w:p w14:paraId="3AEDB121" w14:textId="77777777" w:rsidR="00FD3EAB" w:rsidRPr="003D090B" w:rsidRDefault="00FD3EAB" w:rsidP="00FD3EAB">
      <w:pPr>
        <w:jc w:val="both"/>
        <w:rPr>
          <w:rFonts w:ascii="Monsserrat" w:eastAsia="Calibri" w:hAnsi="Monsserrat" w:cs="Calibri"/>
          <w:color w:val="000000"/>
          <w:sz w:val="25"/>
          <w:szCs w:val="25"/>
        </w:rPr>
      </w:pPr>
    </w:p>
    <w:p w14:paraId="4BB11E39" w14:textId="77777777" w:rsidR="00FD3EAB" w:rsidRPr="003D090B" w:rsidRDefault="00FD3EAB" w:rsidP="00FD3EAB">
      <w:pPr>
        <w:tabs>
          <w:tab w:val="left" w:pos="7845"/>
        </w:tabs>
        <w:spacing w:before="280" w:after="280"/>
        <w:jc w:val="both"/>
        <w:rPr>
          <w:rFonts w:ascii="Monsserrat" w:hAnsi="Monsserrat"/>
          <w:b/>
          <w:sz w:val="25"/>
          <w:szCs w:val="25"/>
        </w:rPr>
      </w:pPr>
      <w:r w:rsidRPr="003D090B">
        <w:rPr>
          <w:rFonts w:ascii="Monsserrat" w:hAnsi="Monsserrat"/>
          <w:b/>
          <w:sz w:val="25"/>
          <w:szCs w:val="25"/>
        </w:rPr>
        <w:t>14. Mejora de la Calidad del Gasto.</w:t>
      </w:r>
    </w:p>
    <w:p w14:paraId="64E14560" w14:textId="77777777" w:rsidR="00FD3EAB" w:rsidRPr="003D090B" w:rsidRDefault="00FD3EAB" w:rsidP="00FD3EAB">
      <w:pPr>
        <w:pStyle w:val="Sinespaciado"/>
        <w:spacing w:line="360" w:lineRule="auto"/>
        <w:jc w:val="both"/>
        <w:rPr>
          <w:rFonts w:ascii="Monsserrat" w:eastAsia="MS Mincho" w:hAnsi="Monsserrat"/>
          <w:sz w:val="25"/>
          <w:szCs w:val="25"/>
          <w:lang w:eastAsia="es-ES"/>
        </w:rPr>
      </w:pPr>
      <w:r w:rsidRPr="003D090B">
        <w:rPr>
          <w:rFonts w:ascii="Monsserrat" w:hAnsi="Monsserrat"/>
          <w:sz w:val="25"/>
          <w:szCs w:val="25"/>
        </w:rPr>
        <w:t xml:space="preserve">El gasto total devengado al segundo informe trimestral del ejercicio fiscal 2022, fue de </w:t>
      </w:r>
      <w:r w:rsidRPr="003D090B">
        <w:rPr>
          <w:rFonts w:ascii="Monsserrat" w:eastAsia="MS Mincho" w:hAnsi="Monsserrat"/>
          <w:b/>
          <w:bCs/>
          <w:sz w:val="25"/>
          <w:szCs w:val="25"/>
          <w:lang w:eastAsia="es-ES"/>
        </w:rPr>
        <w:t>42 mil 079 millones 629 mil 832 pesos</w:t>
      </w:r>
      <w:r w:rsidRPr="003D090B">
        <w:rPr>
          <w:rFonts w:ascii="Monsserrat" w:eastAsia="MS Mincho" w:hAnsi="Monsserrat"/>
          <w:sz w:val="25"/>
          <w:szCs w:val="25"/>
          <w:lang w:eastAsia="es-ES"/>
        </w:rPr>
        <w:t>.</w:t>
      </w:r>
    </w:p>
    <w:p w14:paraId="312F5775" w14:textId="77777777" w:rsidR="00FD3EAB" w:rsidRPr="003D090B" w:rsidRDefault="00FD3EAB" w:rsidP="00FD3EAB">
      <w:pPr>
        <w:pStyle w:val="Sinespaciado"/>
        <w:spacing w:line="360" w:lineRule="auto"/>
        <w:jc w:val="both"/>
        <w:rPr>
          <w:rFonts w:ascii="Monsserrat" w:hAnsi="Monsserrat"/>
          <w:sz w:val="25"/>
          <w:szCs w:val="25"/>
        </w:rPr>
      </w:pPr>
      <w:r w:rsidRPr="003D090B">
        <w:rPr>
          <w:rFonts w:ascii="Monsserrat" w:hAnsi="Monsserrat"/>
          <w:sz w:val="25"/>
          <w:szCs w:val="25"/>
        </w:rPr>
        <w:t xml:space="preserve">Con base en esta clasificación: </w:t>
      </w:r>
    </w:p>
    <w:p w14:paraId="003AE658" w14:textId="77777777" w:rsidR="00FD3EAB" w:rsidRPr="003D090B" w:rsidRDefault="00FD3EAB" w:rsidP="00FD3EAB">
      <w:pPr>
        <w:pStyle w:val="Sinespaciado"/>
        <w:spacing w:line="360" w:lineRule="auto"/>
        <w:jc w:val="both"/>
        <w:rPr>
          <w:rFonts w:ascii="Monsserrat" w:hAnsi="Monsserrat"/>
          <w:sz w:val="25"/>
          <w:szCs w:val="25"/>
        </w:rPr>
      </w:pPr>
    </w:p>
    <w:p w14:paraId="6EA37257"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lastRenderedPageBreak/>
        <w:t>La Administración Pública Centralizada,</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6 mil 946 millones 830 mil 491 pesos, lo que representó el 16% del monto total del presupuesto devengado durante este periodo.</w:t>
      </w:r>
    </w:p>
    <w:p w14:paraId="0F66728A"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t>El Poder Legislativo</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441 millones 449 mil 013 pesos, que representó el 1% del monto total del presupuesto devengado durante este periodo.</w:t>
      </w:r>
    </w:p>
    <w:p w14:paraId="6844CE74"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t>El Poder Judicial</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614 millones 275 mil 501 pesos, que representó el 1% del monto total del presupuesto devengado durante este periodo.</w:t>
      </w:r>
    </w:p>
    <w:p w14:paraId="32B12C6E"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t>Los Órganos Autónomos</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de 2022),</w:t>
      </w:r>
      <w:r w:rsidRPr="003D090B">
        <w:rPr>
          <w:rFonts w:ascii="Monsserrat" w:hAnsi="Monsserrat"/>
          <w:sz w:val="25"/>
          <w:szCs w:val="25"/>
        </w:rPr>
        <w:t xml:space="preserve"> devengó la cantidad de 1 mil 623 millones 732 mil 639 pesos, que representó el 4% del monto del monto total del presupuesto devengado durante este periodo.</w:t>
      </w:r>
    </w:p>
    <w:p w14:paraId="52024E34" w14:textId="77777777" w:rsidR="00FD3EAB" w:rsidRPr="003D090B" w:rsidRDefault="00FD3EAB" w:rsidP="00FD3EAB">
      <w:pPr>
        <w:pStyle w:val="Sinespaciado"/>
        <w:spacing w:line="360" w:lineRule="auto"/>
        <w:jc w:val="both"/>
        <w:rPr>
          <w:rFonts w:ascii="Monsserrat" w:hAnsi="Monsserrat"/>
          <w:sz w:val="25"/>
          <w:szCs w:val="25"/>
        </w:rPr>
      </w:pPr>
    </w:p>
    <w:p w14:paraId="3D7EFD5A"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t>Los Organismos Públicos Descentralizados</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21 mil 793 millones 129 mil 114 pesos, que representa </w:t>
      </w:r>
      <w:proofErr w:type="gramStart"/>
      <w:r w:rsidRPr="003D090B">
        <w:rPr>
          <w:rFonts w:ascii="Monsserrat" w:hAnsi="Monsserrat"/>
          <w:sz w:val="25"/>
          <w:szCs w:val="25"/>
        </w:rPr>
        <w:t>el  52</w:t>
      </w:r>
      <w:proofErr w:type="gramEnd"/>
      <w:r w:rsidRPr="003D090B">
        <w:rPr>
          <w:rFonts w:ascii="Monsserrat" w:hAnsi="Monsserrat"/>
          <w:sz w:val="25"/>
          <w:szCs w:val="25"/>
        </w:rPr>
        <w:t>%  del monto total del presupuesto devengado durante este periodo.</w:t>
      </w:r>
    </w:p>
    <w:p w14:paraId="4BCA4514"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t>Los Fideicomisos Públicos</w:t>
      </w:r>
      <w:r w:rsidRPr="003D090B">
        <w:rPr>
          <w:rFonts w:ascii="Monsserrat" w:hAnsi="Monsserrat"/>
          <w:sz w:val="25"/>
          <w:szCs w:val="25"/>
        </w:rPr>
        <w:t xml:space="preserve">, </w:t>
      </w:r>
      <w:proofErr w:type="gramStart"/>
      <w:r w:rsidRPr="003D090B">
        <w:rPr>
          <w:rFonts w:ascii="Monsserrat" w:hAnsi="Monsserrat"/>
          <w:sz w:val="25"/>
          <w:szCs w:val="25"/>
        </w:rPr>
        <w:t>al  segundo</w:t>
      </w:r>
      <w:proofErr w:type="gramEnd"/>
      <w:r w:rsidRPr="003D090B">
        <w:rPr>
          <w:rFonts w:ascii="Monsserrat" w:hAnsi="Monsserrat"/>
          <w:sz w:val="25"/>
          <w:szCs w:val="25"/>
        </w:rPr>
        <w:t xml:space="preserve">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10 millones 244 mil 523 pesos, que representó el 0% del monto total del presupuesto devengado durante este periodo.</w:t>
      </w:r>
    </w:p>
    <w:p w14:paraId="29C8F2DF"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t>Las Instituciones Públicas de Seguridad Social</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328 millones 750 mil 476 pesos, que representó el 1% del monto total del presupuesto devengado durante este periodo.</w:t>
      </w:r>
    </w:p>
    <w:p w14:paraId="1D1A305A" w14:textId="77777777" w:rsidR="00FD3EAB" w:rsidRPr="003D090B" w:rsidRDefault="00FD3EAB" w:rsidP="00FD3EAB">
      <w:pPr>
        <w:pStyle w:val="Sinespaciado"/>
        <w:numPr>
          <w:ilvl w:val="0"/>
          <w:numId w:val="29"/>
        </w:numPr>
        <w:spacing w:line="360" w:lineRule="auto"/>
        <w:jc w:val="both"/>
        <w:rPr>
          <w:rFonts w:ascii="Monsserrat" w:hAnsi="Monsserrat"/>
          <w:sz w:val="25"/>
          <w:szCs w:val="25"/>
        </w:rPr>
      </w:pPr>
      <w:r w:rsidRPr="003D090B">
        <w:rPr>
          <w:rFonts w:ascii="Monsserrat" w:hAnsi="Monsserrat"/>
          <w:b/>
          <w:bCs/>
          <w:sz w:val="25"/>
          <w:szCs w:val="25"/>
        </w:rPr>
        <w:lastRenderedPageBreak/>
        <w:t>Los Municipios</w:t>
      </w:r>
      <w:r w:rsidRPr="003D090B">
        <w:rPr>
          <w:rFonts w:ascii="Monsserrat" w:hAnsi="Monsserrat"/>
          <w:sz w:val="25"/>
          <w:szCs w:val="25"/>
        </w:rPr>
        <w:t xml:space="preserve">, al segundo informe </w:t>
      </w:r>
      <w:r w:rsidRPr="003D090B">
        <w:rPr>
          <w:rFonts w:ascii="Monsserrat" w:eastAsia="MS Mincho" w:hAnsi="Monsserrat"/>
          <w:sz w:val="25"/>
          <w:szCs w:val="25"/>
          <w:lang w:eastAsia="es-ES"/>
        </w:rPr>
        <w:t>trimestral (enero-junio 2022),</w:t>
      </w:r>
      <w:r w:rsidRPr="003D090B">
        <w:rPr>
          <w:rFonts w:ascii="Monsserrat" w:hAnsi="Monsserrat"/>
          <w:sz w:val="25"/>
          <w:szCs w:val="25"/>
        </w:rPr>
        <w:t xml:space="preserve"> devengó la cantidad de 10 mil 321 millones 218 mil 071 pesos, lo que representa el 25% del monto total del presupuesto devengado durante este periodo.</w:t>
      </w:r>
    </w:p>
    <w:p w14:paraId="10BDB049" w14:textId="77777777" w:rsidR="00FD3EAB" w:rsidRPr="0010188D" w:rsidRDefault="00FD3EAB" w:rsidP="00FD3EAB">
      <w:pPr>
        <w:pBdr>
          <w:top w:val="nil"/>
          <w:left w:val="nil"/>
          <w:bottom w:val="nil"/>
          <w:right w:val="nil"/>
          <w:between w:val="nil"/>
        </w:pBdr>
        <w:ind w:left="720"/>
        <w:jc w:val="both"/>
        <w:rPr>
          <w:rFonts w:ascii="Monsserrat" w:eastAsia="Cambria" w:hAnsi="Monsserrat" w:cs="Cambria"/>
          <w:color w:val="000000"/>
          <w:sz w:val="16"/>
          <w:szCs w:val="16"/>
          <w:lang w:val="es-MX"/>
        </w:rPr>
      </w:pPr>
    </w:p>
    <w:p w14:paraId="58208DDA"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Bases del ejercicio del gasto:</w:t>
      </w:r>
    </w:p>
    <w:p w14:paraId="73EEB9E9"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Mejora de la calidad del gasto. </w:t>
      </w:r>
      <w:r w:rsidRPr="003D090B">
        <w:rPr>
          <w:rFonts w:ascii="Monsserrat" w:hAnsi="Monsserrat"/>
          <w:sz w:val="25"/>
          <w:szCs w:val="25"/>
        </w:rPr>
        <w:t>La administración de los recursos públicos se realiza atendiendo a los criterios de legalidad, eficiencia, eficacia, economía, transparencia, honradez, racionalidad, austeridad, control, rendición de cuentas y ahorro en el ejercicio del gasto público. Se deberán reducir gastos en materia de servicios personales y gastos administrativos. Además de eliminar la duplicidad de programas, mejorar su diseño y buscar mayores resultados e impacto de la gestión pública en la sociedad.</w:t>
      </w:r>
    </w:p>
    <w:p w14:paraId="285F180E"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Financiamiento al desarrollo. </w:t>
      </w:r>
      <w:r w:rsidRPr="003D090B">
        <w:rPr>
          <w:rFonts w:ascii="Monsserrat" w:hAnsi="Monsserrat"/>
          <w:sz w:val="25"/>
          <w:szCs w:val="25"/>
        </w:rPr>
        <w:t xml:space="preserve">Se deberá dirigir el gasto para privilegiar el desarrollo del Estado, motivando la concurrencia de recursos de distintas fuentes: federal, estatal, municipal y de las organizaciones de la sociedad civil, que permiten el financiamiento de los programas dirigidos a la sociedad. </w:t>
      </w:r>
    </w:p>
    <w:p w14:paraId="632AA707"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Políticas transversales. </w:t>
      </w:r>
      <w:r w:rsidRPr="003D090B">
        <w:rPr>
          <w:rFonts w:ascii="Monsserrat" w:hAnsi="Monsserrat"/>
          <w:sz w:val="25"/>
          <w:szCs w:val="25"/>
        </w:rPr>
        <w:t>Los recursos presupuestarios deberán asignarse de tal manera que aseguren la satisfacción de los niveles esenciales de respeto a los derechos humanos, la equidad de género, la sustentabilidad y el apoyo a los pueblos indígenas.</w:t>
      </w:r>
    </w:p>
    <w:p w14:paraId="76569E7E"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Proyectos Plurianuales. </w:t>
      </w:r>
      <w:r w:rsidRPr="003D090B">
        <w:rPr>
          <w:rFonts w:ascii="Monsserrat" w:hAnsi="Monsserrat"/>
          <w:sz w:val="25"/>
          <w:szCs w:val="25"/>
        </w:rPr>
        <w:t>Los compromisos plurianuales del gasto previamente autorizados, que se deriven de contratos de obra pública, adquisiciones, arrendamientos y servicios, tendrán preferencia en la asignación presupuestaria, respecto de otras previsiones de gasto.</w:t>
      </w:r>
    </w:p>
    <w:p w14:paraId="740B37A3"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Gestión pública </w:t>
      </w:r>
      <w:r w:rsidRPr="003D090B">
        <w:rPr>
          <w:rFonts w:ascii="Monsserrat" w:hAnsi="Monsserrat"/>
          <w:sz w:val="25"/>
          <w:szCs w:val="25"/>
        </w:rPr>
        <w:t>estatal para resultados. Las Unidades Responsables deben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6D626FC2"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Transparencia. </w:t>
      </w:r>
      <w:r w:rsidRPr="003D090B">
        <w:rPr>
          <w:rFonts w:ascii="Monsserrat" w:hAnsi="Monsserrat"/>
          <w:sz w:val="25"/>
          <w:szCs w:val="25"/>
        </w:rPr>
        <w:t xml:space="preserve">Para facilitar el acceso de la información presupuestaria a la sociedad, la presupuestación deberá realizarse conforme los clasificadores y catálogos emitidos por la Secretaría conforme a los lineamientos normativos del Consejo de Armonización Contable (CONAC) y en el </w:t>
      </w:r>
      <w:proofErr w:type="spellStart"/>
      <w:r w:rsidRPr="003D090B">
        <w:rPr>
          <w:rFonts w:ascii="Monsserrat" w:hAnsi="Monsserrat"/>
          <w:sz w:val="25"/>
          <w:szCs w:val="25"/>
        </w:rPr>
        <w:t>SEFIP</w:t>
      </w:r>
      <w:proofErr w:type="spellEnd"/>
      <w:r w:rsidRPr="003D090B">
        <w:rPr>
          <w:rFonts w:ascii="Monsserrat" w:hAnsi="Monsserrat"/>
          <w:sz w:val="25"/>
          <w:szCs w:val="25"/>
        </w:rPr>
        <w:t xml:space="preserve"> 2022, el cual está en </w:t>
      </w:r>
      <w:r w:rsidRPr="003D090B">
        <w:rPr>
          <w:rFonts w:ascii="Monsserrat" w:hAnsi="Monsserrat"/>
          <w:sz w:val="25"/>
          <w:szCs w:val="25"/>
        </w:rPr>
        <w:lastRenderedPageBreak/>
        <w:t>continua mejora para la oportuna generación de información presupuestaria, para ser puesta a disposición de la ciudadanía a través de los portales de internet de los Ejecutores de gasto.</w:t>
      </w:r>
    </w:p>
    <w:p w14:paraId="746655F1"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Rendición de cuentas. </w:t>
      </w:r>
      <w:r w:rsidRPr="003D090B">
        <w:rPr>
          <w:rFonts w:ascii="Monsserrat" w:hAnsi="Monsserrat"/>
          <w:sz w:val="25"/>
          <w:szCs w:val="25"/>
        </w:rPr>
        <w:t xml:space="preserve">Los Ejecutores de gasto, deberán presentar información a los órganos de control, evaluación y fiscalización estatales y federales, sobre el ejercicio y destino del gasto, congruente con la información presupuestaria y contable de la cuenta pública, por lo que deben utilizar el sistema electrónico de registro presupuestario </w:t>
      </w:r>
      <w:proofErr w:type="spellStart"/>
      <w:r w:rsidRPr="003D090B">
        <w:rPr>
          <w:rFonts w:ascii="Monsserrat" w:hAnsi="Monsserrat"/>
          <w:sz w:val="25"/>
          <w:szCs w:val="25"/>
        </w:rPr>
        <w:t>SEFIP</w:t>
      </w:r>
      <w:proofErr w:type="spellEnd"/>
      <w:r w:rsidRPr="003D090B">
        <w:rPr>
          <w:rFonts w:ascii="Monsserrat" w:hAnsi="Monsserrat"/>
          <w:sz w:val="25"/>
          <w:szCs w:val="25"/>
        </w:rPr>
        <w:t xml:space="preserve"> 2022.</w:t>
      </w:r>
    </w:p>
    <w:p w14:paraId="14FBF11E" w14:textId="77777777" w:rsidR="00FD3EAB" w:rsidRPr="003D090B" w:rsidRDefault="00FD3EAB" w:rsidP="00FD3EAB">
      <w:pPr>
        <w:shd w:val="clear" w:color="auto" w:fill="FFFFFF"/>
        <w:tabs>
          <w:tab w:val="center" w:pos="4419"/>
        </w:tabs>
        <w:spacing w:before="280" w:after="280"/>
        <w:jc w:val="both"/>
        <w:rPr>
          <w:rFonts w:ascii="Monsserrat" w:hAnsi="Monsserrat"/>
          <w:b/>
          <w:sz w:val="25"/>
          <w:szCs w:val="25"/>
        </w:rPr>
      </w:pPr>
      <w:r w:rsidRPr="003D090B">
        <w:rPr>
          <w:rFonts w:ascii="Monsserrat" w:hAnsi="Monsserrat"/>
          <w:b/>
          <w:sz w:val="25"/>
          <w:szCs w:val="25"/>
        </w:rPr>
        <w:t xml:space="preserve">Armonización Contable. </w:t>
      </w:r>
      <w:r w:rsidRPr="003D090B">
        <w:rPr>
          <w:rFonts w:ascii="Monsserrat" w:hAnsi="Monsserrat"/>
          <w:sz w:val="25"/>
          <w:szCs w:val="25"/>
        </w:rPr>
        <w:t xml:space="preserve">Es obligatorio el uso de los catálogos presupuestarios publicados en el </w:t>
      </w:r>
      <w:proofErr w:type="spellStart"/>
      <w:r w:rsidRPr="003D090B">
        <w:rPr>
          <w:rFonts w:ascii="Monsserrat" w:hAnsi="Monsserrat"/>
          <w:sz w:val="25"/>
          <w:szCs w:val="25"/>
        </w:rPr>
        <w:t>SEFIP</w:t>
      </w:r>
      <w:proofErr w:type="spellEnd"/>
      <w:r w:rsidRPr="003D090B">
        <w:rPr>
          <w:rFonts w:ascii="Monsserrat" w:hAnsi="Monsserrat"/>
          <w:sz w:val="25"/>
          <w:szCs w:val="25"/>
        </w:rPr>
        <w:t xml:space="preserve"> 2022, los cuales dan cumplimiento a la Ley General de Contabilidad Gubernamental y a los acuerdos emitidos por el CONAC. 14. Eventos Posteriores al Cierre.</w:t>
      </w:r>
      <w:r w:rsidRPr="003D090B">
        <w:rPr>
          <w:rFonts w:ascii="Monsserrat" w:hAnsi="Monsserrat"/>
          <w:b/>
          <w:sz w:val="25"/>
          <w:szCs w:val="25"/>
        </w:rPr>
        <w:tab/>
      </w:r>
    </w:p>
    <w:p w14:paraId="205DDB66"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No se registró evento económico posterior al cierre del 2do Trimestre 2022 que modifique las cifras presentadas al 30 de junio de 2022.</w:t>
      </w:r>
    </w:p>
    <w:p w14:paraId="4BB6A72E" w14:textId="77777777" w:rsidR="00FD3EAB" w:rsidRPr="003D090B" w:rsidRDefault="00FD3EAB" w:rsidP="00FD3EAB">
      <w:pPr>
        <w:spacing w:before="280" w:after="280"/>
        <w:jc w:val="both"/>
        <w:rPr>
          <w:rFonts w:ascii="Monsserrat" w:hAnsi="Monsserrat"/>
          <w:b/>
          <w:sz w:val="25"/>
          <w:szCs w:val="25"/>
        </w:rPr>
      </w:pPr>
      <w:r w:rsidRPr="003D090B">
        <w:rPr>
          <w:rFonts w:ascii="Monsserrat" w:hAnsi="Monsserrat"/>
          <w:b/>
          <w:sz w:val="25"/>
          <w:szCs w:val="25"/>
        </w:rPr>
        <w:t>15. Partes Relacionadas.</w:t>
      </w:r>
    </w:p>
    <w:p w14:paraId="3938625C"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No existen partes relacionadas que influyan en la toma de decisiones financieras y operativas en la información contable, presupuestaria y programática.</w:t>
      </w:r>
    </w:p>
    <w:p w14:paraId="4322244F" w14:textId="77777777" w:rsidR="00FD3EAB" w:rsidRPr="003D090B" w:rsidRDefault="00FD3EAB" w:rsidP="00FD3EAB">
      <w:pPr>
        <w:spacing w:before="280"/>
        <w:jc w:val="both"/>
        <w:rPr>
          <w:rFonts w:ascii="Monsserrat" w:hAnsi="Monsserrat"/>
          <w:b/>
          <w:sz w:val="25"/>
          <w:szCs w:val="25"/>
        </w:rPr>
      </w:pPr>
      <w:r w:rsidRPr="003D090B">
        <w:rPr>
          <w:rFonts w:ascii="Monsserrat" w:hAnsi="Monsserrat"/>
          <w:b/>
          <w:sz w:val="25"/>
          <w:szCs w:val="25"/>
        </w:rPr>
        <w:t>16. Responsabilidad sobre la Presentación Razonable de los Estados</w:t>
      </w:r>
    </w:p>
    <w:p w14:paraId="0FD7D015" w14:textId="77777777" w:rsidR="00FD3EAB" w:rsidRPr="003D090B" w:rsidRDefault="00FD3EAB" w:rsidP="00FD3EAB">
      <w:pPr>
        <w:jc w:val="both"/>
        <w:rPr>
          <w:rFonts w:ascii="Monsserrat" w:hAnsi="Monsserrat"/>
          <w:b/>
          <w:sz w:val="25"/>
          <w:szCs w:val="25"/>
        </w:rPr>
      </w:pPr>
      <w:r w:rsidRPr="003D090B">
        <w:rPr>
          <w:rFonts w:ascii="Monsserrat" w:hAnsi="Monsserrat"/>
          <w:b/>
          <w:sz w:val="25"/>
          <w:szCs w:val="25"/>
        </w:rPr>
        <w:t>Financieros.</w:t>
      </w:r>
    </w:p>
    <w:p w14:paraId="65565FE3" w14:textId="77777777" w:rsidR="00FD3EAB" w:rsidRPr="003D090B" w:rsidRDefault="00FD3EAB" w:rsidP="00FD3EAB">
      <w:pPr>
        <w:jc w:val="both"/>
        <w:rPr>
          <w:rFonts w:ascii="Monsserrat" w:hAnsi="Monsserrat"/>
          <w:b/>
          <w:sz w:val="25"/>
          <w:szCs w:val="25"/>
        </w:rPr>
      </w:pPr>
    </w:p>
    <w:p w14:paraId="3DA97263" w14:textId="77777777" w:rsidR="00FD3EAB" w:rsidRPr="003D090B" w:rsidRDefault="00FD3EAB" w:rsidP="00FD3EAB">
      <w:pPr>
        <w:spacing w:after="280"/>
        <w:jc w:val="both"/>
        <w:rPr>
          <w:rFonts w:ascii="Monsserrat" w:hAnsi="Monsserrat"/>
          <w:sz w:val="25"/>
          <w:szCs w:val="25"/>
        </w:rPr>
      </w:pPr>
      <w:r w:rsidRPr="003D090B">
        <w:rPr>
          <w:rFonts w:ascii="Monsserrat" w:hAnsi="Monsserrat"/>
          <w:sz w:val="25"/>
          <w:szCs w:val="25"/>
        </w:rPr>
        <w:t>La Información Consolidada del Poder Ejecutivo presentada en los estados financieros y manifestados en las presentes notas se encuentra soportada en los registros contables del Sistema Presupuestal y Contable del Sistema Estatal de las Finanzas Públicas (</w:t>
      </w:r>
      <w:proofErr w:type="spellStart"/>
      <w:r w:rsidRPr="003D090B">
        <w:rPr>
          <w:rFonts w:ascii="Monsserrat" w:hAnsi="Monsserrat"/>
          <w:sz w:val="25"/>
          <w:szCs w:val="25"/>
        </w:rPr>
        <w:t>SEFIP</w:t>
      </w:r>
      <w:proofErr w:type="spellEnd"/>
      <w:r w:rsidRPr="003D090B">
        <w:rPr>
          <w:rFonts w:ascii="Monsserrat" w:hAnsi="Monsserrat"/>
          <w:sz w:val="25"/>
          <w:szCs w:val="25"/>
        </w:rPr>
        <w:t xml:space="preserve">) que cada Ente Público opera y es responsable del mismo. </w:t>
      </w:r>
    </w:p>
    <w:p w14:paraId="28962186" w14:textId="77777777" w:rsidR="00FD3EAB" w:rsidRPr="003D090B" w:rsidRDefault="00FD3EAB" w:rsidP="00FD3EAB">
      <w:pPr>
        <w:spacing w:before="280" w:after="280"/>
        <w:jc w:val="both"/>
        <w:rPr>
          <w:rFonts w:ascii="Monsserrat" w:hAnsi="Monsserrat"/>
          <w:sz w:val="25"/>
          <w:szCs w:val="25"/>
        </w:rPr>
      </w:pPr>
      <w:r w:rsidRPr="003D090B">
        <w:rPr>
          <w:rFonts w:ascii="Monsserrat" w:hAnsi="Monsserrat"/>
          <w:sz w:val="25"/>
          <w:szCs w:val="25"/>
        </w:rPr>
        <w:t>Las notas descritas son parte integral de los Estados Financieros del Poder Ejecutivo del Gobierno del Estado de Oaxaca al cierre del 2do Trimestre 2022.</w:t>
      </w:r>
    </w:p>
    <w:p w14:paraId="2290D830" w14:textId="77777777" w:rsidR="009C05EA" w:rsidRPr="003D090B" w:rsidRDefault="009C05EA" w:rsidP="00353D98">
      <w:pPr>
        <w:rPr>
          <w:rFonts w:ascii="Monsserrat" w:hAnsi="Monsserrat"/>
          <w:b/>
          <w:i/>
          <w:sz w:val="25"/>
          <w:szCs w:val="25"/>
        </w:rPr>
      </w:pPr>
    </w:p>
    <w:sectPr w:rsidR="009C05EA" w:rsidRPr="003D090B">
      <w:headerReference w:type="even" r:id="rId17"/>
      <w:headerReference w:type="default" r:id="rId18"/>
      <w:footerReference w:type="even" r:id="rId19"/>
      <w:footerReference w:type="default" r:id="rId20"/>
      <w:pgSz w:w="12240" w:h="15840"/>
      <w:pgMar w:top="2835" w:right="1276" w:bottom="567" w:left="1843" w:header="1985"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1C385" w14:textId="77777777" w:rsidR="00AE6428" w:rsidRDefault="00AE6428">
      <w:r>
        <w:separator/>
      </w:r>
    </w:p>
  </w:endnote>
  <w:endnote w:type="continuationSeparator" w:id="0">
    <w:p w14:paraId="4FA1580F" w14:textId="77777777" w:rsidR="00AE6428" w:rsidRDefault="00AE6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Univia Pro Book">
    <w:altName w:val="Calibri"/>
    <w:panose1 w:val="00000000000000000000"/>
    <w:charset w:val="00"/>
    <w:family w:val="modern"/>
    <w:notTrueType/>
    <w:pitch w:val="variable"/>
    <w:sig w:usb0="A00002EF" w:usb1="5000E47B" w:usb2="00000000" w:usb3="00000000" w:csb0="00000097"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artika">
    <w:altName w:val="Bell MT"/>
    <w:charset w:val="00"/>
    <w:family w:val="roman"/>
    <w:pitch w:val="variable"/>
    <w:sig w:usb0="00800003" w:usb1="00000000" w:usb2="00000000" w:usb3="00000000" w:csb0="00000001" w:csb1="00000000"/>
  </w:font>
  <w:font w:name="Monsserra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B8D6"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42CC47C4" wp14:editId="31EA0A7D">
          <wp:extent cx="6115050" cy="16192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3B09EC7E" w14:textId="77777777" w:rsidR="00160031" w:rsidRDefault="00160031">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end"/>
    </w:r>
  </w:p>
  <w:p w14:paraId="06C27644"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6D3FD608" w14:textId="77777777" w:rsidR="00160031" w:rsidRDefault="00160031">
    <w:pPr>
      <w:pBdr>
        <w:top w:val="nil"/>
        <w:left w:val="nil"/>
        <w:bottom w:val="nil"/>
        <w:right w:val="nil"/>
        <w:between w:val="nil"/>
      </w:pBdr>
      <w:tabs>
        <w:tab w:val="center" w:pos="4252"/>
        <w:tab w:val="right" w:pos="8504"/>
      </w:tabs>
      <w:jc w:val="right"/>
      <w:rPr>
        <w:color w:val="000000"/>
      </w:rPr>
    </w:pPr>
    <w:r>
      <w:rPr>
        <w:color w:val="000000"/>
        <w:sz w:val="16"/>
        <w:szCs w:val="16"/>
      </w:rPr>
      <w:t>Periodo noviembre-</w:t>
    </w:r>
    <w:proofErr w:type="gramStart"/>
    <w:r>
      <w:rPr>
        <w:color w:val="000000"/>
        <w:sz w:val="16"/>
        <w:szCs w:val="16"/>
      </w:rPr>
      <w:t>marzo  del</w:t>
    </w:r>
    <w:proofErr w:type="gramEnd"/>
    <w:r>
      <w:rPr>
        <w:color w:val="000000"/>
        <w:sz w:val="16"/>
        <w:szCs w:val="16"/>
      </w:rPr>
      <w:t xml:space="preserve">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9618"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p>
  <w:p w14:paraId="660BDC1A" w14:textId="77777777" w:rsidR="00160031" w:rsidRDefault="00160031">
    <w:pPr>
      <w:pBdr>
        <w:top w:val="nil"/>
        <w:left w:val="nil"/>
        <w:bottom w:val="nil"/>
        <w:right w:val="nil"/>
        <w:between w:val="nil"/>
      </w:pBdr>
      <w:tabs>
        <w:tab w:val="center" w:pos="4252"/>
        <w:tab w:val="right" w:pos="8504"/>
      </w:tabs>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D2857" w14:textId="77777777" w:rsidR="00AE6428" w:rsidRDefault="00AE6428">
      <w:r>
        <w:separator/>
      </w:r>
    </w:p>
  </w:footnote>
  <w:footnote w:type="continuationSeparator" w:id="0">
    <w:p w14:paraId="45C319F2" w14:textId="77777777" w:rsidR="00AE6428" w:rsidRDefault="00AE6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A01E" w14:textId="77777777" w:rsidR="00160031" w:rsidRDefault="00160031">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1DD41F0A" wp14:editId="6DB790C8">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363A33CE" wp14:editId="71E2361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EC0A" w14:textId="77777777" w:rsidR="00160031" w:rsidRDefault="00160031">
    <w:pPr>
      <w:jc w:val="right"/>
    </w:pPr>
    <w:r>
      <w:rPr>
        <w:noProof/>
        <w:lang w:val="es-MX"/>
      </w:rPr>
      <w:drawing>
        <wp:anchor distT="0" distB="0" distL="114300" distR="114300" simplePos="0" relativeHeight="251658240" behindDoc="0" locked="0" layoutInCell="1" hidden="0" allowOverlap="1" wp14:anchorId="0E41B214" wp14:editId="095952DB">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3"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D4539"/>
    <w:multiLevelType w:val="multilevel"/>
    <w:tmpl w:val="CB74C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7A12E7"/>
    <w:multiLevelType w:val="hybridMultilevel"/>
    <w:tmpl w:val="42CAA39A"/>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EBB5B26"/>
    <w:multiLevelType w:val="multilevel"/>
    <w:tmpl w:val="1BECA3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F01427F"/>
    <w:multiLevelType w:val="multilevel"/>
    <w:tmpl w:val="84D8D3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0391185"/>
    <w:multiLevelType w:val="multilevel"/>
    <w:tmpl w:val="7AA6C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041A0E"/>
    <w:multiLevelType w:val="multilevel"/>
    <w:tmpl w:val="5D4A7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BE5F2A"/>
    <w:multiLevelType w:val="multilevel"/>
    <w:tmpl w:val="51047C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CE06F94"/>
    <w:multiLevelType w:val="multilevel"/>
    <w:tmpl w:val="94562E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061609F"/>
    <w:multiLevelType w:val="hybridMultilevel"/>
    <w:tmpl w:val="141CE9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297893"/>
    <w:multiLevelType w:val="multilevel"/>
    <w:tmpl w:val="E85E1B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8FC1012"/>
    <w:multiLevelType w:val="multilevel"/>
    <w:tmpl w:val="7C681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94161A"/>
    <w:multiLevelType w:val="multilevel"/>
    <w:tmpl w:val="127EEB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32672A8"/>
    <w:multiLevelType w:val="multilevel"/>
    <w:tmpl w:val="C4C40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A97179"/>
    <w:multiLevelType w:val="multilevel"/>
    <w:tmpl w:val="FBEA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EB3226"/>
    <w:multiLevelType w:val="multilevel"/>
    <w:tmpl w:val="4476E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3961AC"/>
    <w:multiLevelType w:val="multilevel"/>
    <w:tmpl w:val="93209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851732"/>
    <w:multiLevelType w:val="hybridMultilevel"/>
    <w:tmpl w:val="FB9E795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39680003"/>
    <w:multiLevelType w:val="hybridMultilevel"/>
    <w:tmpl w:val="0A387FDE"/>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398572B7"/>
    <w:multiLevelType w:val="multilevel"/>
    <w:tmpl w:val="3D9C1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05624D"/>
    <w:multiLevelType w:val="multilevel"/>
    <w:tmpl w:val="E18E9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2E7A95"/>
    <w:multiLevelType w:val="hybridMultilevel"/>
    <w:tmpl w:val="D62A9CCA"/>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F12681"/>
    <w:multiLevelType w:val="multilevel"/>
    <w:tmpl w:val="BE64B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4E22D3"/>
    <w:multiLevelType w:val="hybridMultilevel"/>
    <w:tmpl w:val="6582C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8A6F90"/>
    <w:multiLevelType w:val="multilevel"/>
    <w:tmpl w:val="63729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B32A2F"/>
    <w:multiLevelType w:val="multilevel"/>
    <w:tmpl w:val="12664E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55DA63F3"/>
    <w:multiLevelType w:val="hybridMultilevel"/>
    <w:tmpl w:val="A5F41130"/>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578F5449"/>
    <w:multiLevelType w:val="multilevel"/>
    <w:tmpl w:val="8AA2C880"/>
    <w:lvl w:ilvl="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7" w15:restartNumberingAfterBreak="0">
    <w:nsid w:val="596F3A87"/>
    <w:multiLevelType w:val="multilevel"/>
    <w:tmpl w:val="1C041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C207CA4"/>
    <w:multiLevelType w:val="hybridMultilevel"/>
    <w:tmpl w:val="471C6F40"/>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5C8226CB"/>
    <w:multiLevelType w:val="multilevel"/>
    <w:tmpl w:val="C2248E7E"/>
    <w:lvl w:ilvl="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1" w15:restartNumberingAfterBreak="0">
    <w:nsid w:val="5EC339ED"/>
    <w:multiLevelType w:val="hybridMultilevel"/>
    <w:tmpl w:val="F15274C0"/>
    <w:lvl w:ilvl="0" w:tplc="1812F1C4">
      <w:numFmt w:val="bullet"/>
      <w:lvlText w:val="•"/>
      <w:lvlJc w:val="left"/>
      <w:pPr>
        <w:ind w:left="1068" w:hanging="360"/>
      </w:pPr>
      <w:rPr>
        <w:rFonts w:ascii="Univia Pro Book" w:eastAsiaTheme="minorHAnsi" w:hAnsi="Univia Pro Book"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7B22A8"/>
    <w:multiLevelType w:val="multilevel"/>
    <w:tmpl w:val="7CF07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E26796"/>
    <w:multiLevelType w:val="multilevel"/>
    <w:tmpl w:val="55BC7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CF95290"/>
    <w:multiLevelType w:val="hybridMultilevel"/>
    <w:tmpl w:val="3FEC9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5E7B5F"/>
    <w:multiLevelType w:val="hybridMultilevel"/>
    <w:tmpl w:val="9A9E28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AE6C8F"/>
    <w:multiLevelType w:val="hybridMultilevel"/>
    <w:tmpl w:val="FA346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6C67D0"/>
    <w:multiLevelType w:val="multilevel"/>
    <w:tmpl w:val="B450E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C0B124A"/>
    <w:multiLevelType w:val="multilevel"/>
    <w:tmpl w:val="B74C70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F7622FA"/>
    <w:multiLevelType w:val="multilevel"/>
    <w:tmpl w:val="0DD89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0710638">
    <w:abstractNumId w:val="21"/>
  </w:num>
  <w:num w:numId="2" w16cid:durableId="521825392">
    <w:abstractNumId w:val="2"/>
  </w:num>
  <w:num w:numId="3" w16cid:durableId="701398936">
    <w:abstractNumId w:val="24"/>
  </w:num>
  <w:num w:numId="4" w16cid:durableId="1377657918">
    <w:abstractNumId w:val="9"/>
  </w:num>
  <w:num w:numId="5" w16cid:durableId="1934824007">
    <w:abstractNumId w:val="15"/>
  </w:num>
  <w:num w:numId="6" w16cid:durableId="1535388637">
    <w:abstractNumId w:val="30"/>
  </w:num>
  <w:num w:numId="7" w16cid:durableId="1610503287">
    <w:abstractNumId w:val="39"/>
  </w:num>
  <w:num w:numId="8" w16cid:durableId="852647360">
    <w:abstractNumId w:val="12"/>
  </w:num>
  <w:num w:numId="9" w16cid:durableId="66388279">
    <w:abstractNumId w:val="3"/>
  </w:num>
  <w:num w:numId="10" w16cid:durableId="1558513658">
    <w:abstractNumId w:val="23"/>
  </w:num>
  <w:num w:numId="11" w16cid:durableId="1194420276">
    <w:abstractNumId w:val="33"/>
  </w:num>
  <w:num w:numId="12" w16cid:durableId="641540041">
    <w:abstractNumId w:val="0"/>
  </w:num>
  <w:num w:numId="13" w16cid:durableId="989404911">
    <w:abstractNumId w:val="18"/>
  </w:num>
  <w:num w:numId="14" w16cid:durableId="480537784">
    <w:abstractNumId w:val="28"/>
  </w:num>
  <w:num w:numId="15" w16cid:durableId="288634328">
    <w:abstractNumId w:val="14"/>
  </w:num>
  <w:num w:numId="16" w16cid:durableId="908198066">
    <w:abstractNumId w:val="7"/>
  </w:num>
  <w:num w:numId="17" w16cid:durableId="295723469">
    <w:abstractNumId w:val="11"/>
  </w:num>
  <w:num w:numId="18" w16cid:durableId="820004370">
    <w:abstractNumId w:val="38"/>
  </w:num>
  <w:num w:numId="19" w16cid:durableId="1257203787">
    <w:abstractNumId w:val="27"/>
  </w:num>
  <w:num w:numId="20" w16cid:durableId="887375962">
    <w:abstractNumId w:val="26"/>
  </w:num>
  <w:num w:numId="21" w16cid:durableId="965239082">
    <w:abstractNumId w:val="13"/>
  </w:num>
  <w:num w:numId="22" w16cid:durableId="2069061968">
    <w:abstractNumId w:val="10"/>
  </w:num>
  <w:num w:numId="23" w16cid:durableId="152377168">
    <w:abstractNumId w:val="6"/>
  </w:num>
  <w:num w:numId="24" w16cid:durableId="917590664">
    <w:abstractNumId w:val="4"/>
  </w:num>
  <w:num w:numId="25" w16cid:durableId="2039965025">
    <w:abstractNumId w:val="19"/>
  </w:num>
  <w:num w:numId="26" w16cid:durableId="1758594958">
    <w:abstractNumId w:val="5"/>
  </w:num>
  <w:num w:numId="27" w16cid:durableId="945498646">
    <w:abstractNumId w:val="37"/>
  </w:num>
  <w:num w:numId="28" w16cid:durableId="876626198">
    <w:abstractNumId w:val="32"/>
  </w:num>
  <w:num w:numId="29" w16cid:durableId="496650820">
    <w:abstractNumId w:val="34"/>
  </w:num>
  <w:num w:numId="30" w16cid:durableId="1474181140">
    <w:abstractNumId w:val="16"/>
  </w:num>
  <w:num w:numId="31" w16cid:durableId="995256122">
    <w:abstractNumId w:val="25"/>
  </w:num>
  <w:num w:numId="32" w16cid:durableId="969165433">
    <w:abstractNumId w:val="17"/>
  </w:num>
  <w:num w:numId="33" w16cid:durableId="576521997">
    <w:abstractNumId w:val="1"/>
  </w:num>
  <w:num w:numId="34" w16cid:durableId="767240052">
    <w:abstractNumId w:val="29"/>
  </w:num>
  <w:num w:numId="35" w16cid:durableId="1793745888">
    <w:abstractNumId w:val="31"/>
  </w:num>
  <w:num w:numId="36" w16cid:durableId="1243415620">
    <w:abstractNumId w:val="20"/>
  </w:num>
  <w:num w:numId="37" w16cid:durableId="243421856">
    <w:abstractNumId w:val="35"/>
  </w:num>
  <w:num w:numId="38" w16cid:durableId="724526897">
    <w:abstractNumId w:val="36"/>
  </w:num>
  <w:num w:numId="39" w16cid:durableId="1932276552">
    <w:abstractNumId w:val="8"/>
  </w:num>
  <w:num w:numId="40" w16cid:durableId="10002314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C05EA"/>
    <w:rsid w:val="0010188D"/>
    <w:rsid w:val="00147E93"/>
    <w:rsid w:val="00160031"/>
    <w:rsid w:val="001B07C1"/>
    <w:rsid w:val="001F581E"/>
    <w:rsid w:val="00353D98"/>
    <w:rsid w:val="003D090B"/>
    <w:rsid w:val="00404938"/>
    <w:rsid w:val="00570EEB"/>
    <w:rsid w:val="005B740F"/>
    <w:rsid w:val="006D2C27"/>
    <w:rsid w:val="00766771"/>
    <w:rsid w:val="00853666"/>
    <w:rsid w:val="00916F1F"/>
    <w:rsid w:val="009C05EA"/>
    <w:rsid w:val="00A63762"/>
    <w:rsid w:val="00AC0D24"/>
    <w:rsid w:val="00AE6428"/>
    <w:rsid w:val="00B34987"/>
    <w:rsid w:val="00B66A10"/>
    <w:rsid w:val="00BC44D1"/>
    <w:rsid w:val="00C56C61"/>
    <w:rsid w:val="00D06175"/>
    <w:rsid w:val="00D83709"/>
    <w:rsid w:val="00F01F23"/>
    <w:rsid w:val="00F45806"/>
    <w:rsid w:val="00F709E4"/>
    <w:rsid w:val="00FD3E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A6B1C"/>
  <w15:docId w15:val="{004294EA-B49F-4F58-B77B-EA4E79868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698</TotalTime>
  <Pages>54</Pages>
  <Words>15095</Words>
  <Characters>83024</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contabilidad.finanzas13@hotmail.com</cp:lastModifiedBy>
  <cp:revision>23</cp:revision>
  <cp:lastPrinted>2022-07-28T20:53:00Z</cp:lastPrinted>
  <dcterms:created xsi:type="dcterms:W3CDTF">2022-07-22T18:23:00Z</dcterms:created>
  <dcterms:modified xsi:type="dcterms:W3CDTF">2023-08-11T20:48:00Z</dcterms:modified>
</cp:coreProperties>
</file>