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34" w:rsidRDefault="00AF7634">
      <w:pPr>
        <w:pBdr>
          <w:top w:val="nil"/>
          <w:left w:val="nil"/>
          <w:bottom w:val="nil"/>
          <w:right w:val="nil"/>
          <w:between w:val="nil"/>
        </w:pBdr>
        <w:ind w:left="709" w:hanging="709"/>
        <w:jc w:val="center"/>
        <w:rPr>
          <w:b/>
        </w:rPr>
      </w:pPr>
    </w:p>
    <w:p w:rsidR="00AF7634" w:rsidRDefault="0079353E">
      <w:pPr>
        <w:pBdr>
          <w:top w:val="nil"/>
          <w:left w:val="nil"/>
          <w:bottom w:val="nil"/>
          <w:right w:val="nil"/>
          <w:between w:val="nil"/>
        </w:pBdr>
        <w:jc w:val="center"/>
        <w:rPr>
          <w:b/>
        </w:rPr>
      </w:pPr>
      <w:r>
        <w:rPr>
          <w:b/>
        </w:rPr>
        <w:t>ESTADOS FINANCIEROS CONSOLIDADOS DEL GOBIERNO ESTATAL</w:t>
      </w:r>
    </w:p>
    <w:p w:rsidR="00AF7634" w:rsidRDefault="00AF7634">
      <w:pPr>
        <w:pBdr>
          <w:top w:val="nil"/>
          <w:left w:val="nil"/>
          <w:bottom w:val="nil"/>
          <w:right w:val="nil"/>
          <w:between w:val="nil"/>
        </w:pBdr>
        <w:jc w:val="both"/>
      </w:pPr>
    </w:p>
    <w:p w:rsidR="00AF7634" w:rsidRDefault="00AF7634">
      <w:pPr>
        <w:pBdr>
          <w:top w:val="nil"/>
          <w:left w:val="nil"/>
          <w:bottom w:val="nil"/>
          <w:right w:val="nil"/>
          <w:between w:val="nil"/>
        </w:pBdr>
        <w:jc w:val="both"/>
      </w:pPr>
    </w:p>
    <w:p w:rsidR="00AF7634" w:rsidRDefault="0079353E">
      <w:pPr>
        <w:pBdr>
          <w:top w:val="nil"/>
          <w:left w:val="nil"/>
          <w:bottom w:val="nil"/>
          <w:right w:val="nil"/>
          <w:between w:val="nil"/>
        </w:pBdr>
        <w:jc w:val="both"/>
      </w:pPr>
      <w:r>
        <w:t xml:space="preserve">A continuación se presentan las notas estructuradas y elaboradas a los Estados Financieros Consolidados del Gobierno del Estado de Oaxaca correspondientes al </w:t>
      </w:r>
      <w:r w:rsidR="0017769A">
        <w:t>periodo enero-junio 2022,</w:t>
      </w:r>
      <w: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rsidR="00AF7634" w:rsidRDefault="00AF7634">
      <w:pPr>
        <w:pBdr>
          <w:top w:val="nil"/>
          <w:left w:val="nil"/>
          <w:bottom w:val="nil"/>
          <w:right w:val="nil"/>
          <w:between w:val="nil"/>
        </w:pBdr>
        <w:jc w:val="both"/>
      </w:pPr>
    </w:p>
    <w:p w:rsidR="00AF7634" w:rsidRDefault="00AF7634">
      <w:pPr>
        <w:pBdr>
          <w:top w:val="nil"/>
          <w:left w:val="nil"/>
          <w:bottom w:val="nil"/>
          <w:right w:val="nil"/>
          <w:between w:val="nil"/>
        </w:pBdr>
        <w:jc w:val="both"/>
      </w:pPr>
    </w:p>
    <w:p w:rsidR="00AF7634" w:rsidRDefault="00AF7634">
      <w:pPr>
        <w:pBdr>
          <w:top w:val="nil"/>
          <w:left w:val="nil"/>
          <w:bottom w:val="nil"/>
          <w:right w:val="nil"/>
          <w:between w:val="nil"/>
        </w:pBdr>
        <w:jc w:val="both"/>
      </w:pPr>
    </w:p>
    <w:p w:rsidR="00AF7634" w:rsidRDefault="0079353E">
      <w:pPr>
        <w:numPr>
          <w:ilvl w:val="0"/>
          <w:numId w:val="1"/>
        </w:numPr>
        <w:pBdr>
          <w:top w:val="nil"/>
          <w:left w:val="nil"/>
          <w:bottom w:val="nil"/>
          <w:right w:val="nil"/>
          <w:between w:val="nil"/>
        </w:pBdr>
        <w:jc w:val="both"/>
      </w:pPr>
      <w:r>
        <w:t>Notas de Desglose.</w:t>
      </w:r>
    </w:p>
    <w:p w:rsidR="00AF7634" w:rsidRDefault="0079353E">
      <w:pPr>
        <w:numPr>
          <w:ilvl w:val="0"/>
          <w:numId w:val="1"/>
        </w:numPr>
        <w:pBdr>
          <w:top w:val="nil"/>
          <w:left w:val="nil"/>
          <w:bottom w:val="nil"/>
          <w:right w:val="nil"/>
          <w:between w:val="nil"/>
        </w:pBdr>
        <w:jc w:val="both"/>
      </w:pPr>
      <w:r>
        <w:t>Notas de Memoria.</w:t>
      </w:r>
    </w:p>
    <w:p w:rsidR="00AF7634" w:rsidRDefault="0079353E">
      <w:pPr>
        <w:numPr>
          <w:ilvl w:val="0"/>
          <w:numId w:val="1"/>
        </w:numPr>
        <w:pBdr>
          <w:top w:val="nil"/>
          <w:left w:val="nil"/>
          <w:bottom w:val="nil"/>
          <w:right w:val="nil"/>
          <w:between w:val="nil"/>
        </w:pBdr>
        <w:jc w:val="both"/>
      </w:pPr>
      <w:r>
        <w:t>Notas de Gestión Administrativa.</w:t>
      </w:r>
    </w:p>
    <w:p w:rsidR="00AF7634" w:rsidRDefault="00AF7634">
      <w:pPr>
        <w:jc w:val="both"/>
      </w:pPr>
    </w:p>
    <w:p w:rsidR="00AF7634" w:rsidRDefault="00AF7634">
      <w:pPr>
        <w:jc w:val="both"/>
      </w:pPr>
    </w:p>
    <w:p w:rsidR="00AF7634" w:rsidRDefault="0079353E">
      <w:pPr>
        <w:jc w:val="both"/>
      </w:pPr>
      <w: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rsidR="00AF7634" w:rsidRDefault="00AF7634">
      <w:pPr>
        <w:jc w:val="both"/>
      </w:pPr>
    </w:p>
    <w:p w:rsidR="00AF7634" w:rsidRDefault="0079353E">
      <w:pPr>
        <w:jc w:val="both"/>
      </w:pPr>
      <w:r>
        <w:t>Las cuentas que se consolidan son:</w:t>
      </w:r>
    </w:p>
    <w:p w:rsidR="00AF7634" w:rsidRDefault="00AF7634">
      <w:pPr>
        <w:jc w:val="both"/>
      </w:pPr>
    </w:p>
    <w:p w:rsidR="00AF7634" w:rsidRDefault="0079353E">
      <w:pPr>
        <w:jc w:val="both"/>
        <w:rPr>
          <w:b/>
        </w:rPr>
      </w:pPr>
      <w:r>
        <w:rPr>
          <w:b/>
        </w:rPr>
        <w:t>ACTIVO</w:t>
      </w:r>
    </w:p>
    <w:p w:rsidR="00AF7634" w:rsidRDefault="0079353E">
      <w:pPr>
        <w:numPr>
          <w:ilvl w:val="0"/>
          <w:numId w:val="2"/>
        </w:numPr>
        <w:jc w:val="both"/>
      </w:pPr>
      <w:r>
        <w:t>Rubro</w:t>
      </w:r>
    </w:p>
    <w:p w:rsidR="00AF7634" w:rsidRDefault="0079353E">
      <w:pPr>
        <w:numPr>
          <w:ilvl w:val="1"/>
          <w:numId w:val="2"/>
        </w:numPr>
        <w:jc w:val="both"/>
      </w:pPr>
      <w:r>
        <w:t xml:space="preserve">Derechos a Recibir Efectivo y Equivalentes </w:t>
      </w:r>
    </w:p>
    <w:p w:rsidR="00AF7634" w:rsidRDefault="0079353E">
      <w:pPr>
        <w:numPr>
          <w:ilvl w:val="2"/>
          <w:numId w:val="2"/>
        </w:numPr>
        <w:jc w:val="both"/>
      </w:pPr>
      <w:r>
        <w:t>Cuenta</w:t>
      </w:r>
    </w:p>
    <w:p w:rsidR="00AF7634" w:rsidRDefault="0079353E">
      <w:pPr>
        <w:numPr>
          <w:ilvl w:val="3"/>
          <w:numId w:val="2"/>
        </w:numPr>
        <w:jc w:val="both"/>
      </w:pPr>
      <w:r>
        <w:t>Deudores Diversos por Cobrar a Corto Plazo</w:t>
      </w:r>
    </w:p>
    <w:p w:rsidR="00AF7634" w:rsidRDefault="0079353E">
      <w:pPr>
        <w:numPr>
          <w:ilvl w:val="3"/>
          <w:numId w:val="2"/>
        </w:numPr>
        <w:jc w:val="both"/>
      </w:pPr>
      <w:r>
        <w:t>Deudores por Anticipos de la Tesorería  a Corto Plazo</w:t>
      </w:r>
    </w:p>
    <w:p w:rsidR="00AF7634" w:rsidRDefault="0079353E">
      <w:pPr>
        <w:numPr>
          <w:ilvl w:val="3"/>
          <w:numId w:val="2"/>
        </w:numPr>
        <w:jc w:val="both"/>
      </w:pPr>
      <w:r>
        <w:t>Préstamos Otorgados a Corto Plazo</w:t>
      </w:r>
    </w:p>
    <w:p w:rsidR="00AF7634" w:rsidRDefault="0079353E">
      <w:pPr>
        <w:jc w:val="both"/>
        <w:rPr>
          <w:b/>
        </w:rPr>
      </w:pPr>
      <w:r>
        <w:rPr>
          <w:b/>
        </w:rPr>
        <w:t>PASIVO</w:t>
      </w:r>
    </w:p>
    <w:p w:rsidR="00AF7634" w:rsidRDefault="0079353E">
      <w:pPr>
        <w:numPr>
          <w:ilvl w:val="0"/>
          <w:numId w:val="2"/>
        </w:numPr>
        <w:jc w:val="both"/>
      </w:pPr>
      <w:r>
        <w:t>Rubro</w:t>
      </w:r>
    </w:p>
    <w:p w:rsidR="00AF7634" w:rsidRDefault="0079353E">
      <w:pPr>
        <w:numPr>
          <w:ilvl w:val="1"/>
          <w:numId w:val="2"/>
        </w:numPr>
        <w:jc w:val="both"/>
      </w:pPr>
      <w:r>
        <w:t xml:space="preserve">Cuentas por Pagar a Corto Plazo </w:t>
      </w:r>
    </w:p>
    <w:p w:rsidR="00AF7634" w:rsidRDefault="0079353E">
      <w:pPr>
        <w:numPr>
          <w:ilvl w:val="2"/>
          <w:numId w:val="2"/>
        </w:numPr>
        <w:jc w:val="both"/>
      </w:pPr>
      <w:r>
        <w:t>Cuenta</w:t>
      </w:r>
    </w:p>
    <w:p w:rsidR="00AF7634" w:rsidRDefault="0079353E">
      <w:pPr>
        <w:numPr>
          <w:ilvl w:val="3"/>
          <w:numId w:val="2"/>
        </w:numPr>
        <w:jc w:val="both"/>
      </w:pPr>
      <w:r>
        <w:t>Otras Cuentas por Pagar a Corto Plazo</w:t>
      </w:r>
    </w:p>
    <w:p w:rsidR="000B6AA3" w:rsidRDefault="000B6AA3">
      <w:pPr>
        <w:jc w:val="both"/>
      </w:pPr>
    </w:p>
    <w:p w:rsidR="00AF7634" w:rsidRDefault="0079353E">
      <w:pPr>
        <w:jc w:val="both"/>
      </w:pPr>
      <w:r>
        <w:t xml:space="preserve">En este sentido, a partir de este periodo, la presentación de los Estados Financieros se llevará a cabo mediante el proceso antes mencionado. </w:t>
      </w:r>
    </w:p>
    <w:p w:rsidR="00AF7634" w:rsidRDefault="00AF7634">
      <w:pPr>
        <w:jc w:val="both"/>
      </w:pPr>
    </w:p>
    <w:p w:rsidR="00AF7634" w:rsidRDefault="0079353E">
      <w:pPr>
        <w:jc w:val="center"/>
        <w:rPr>
          <w:b/>
        </w:rPr>
      </w:pPr>
      <w:r>
        <w:rPr>
          <w:b/>
        </w:rPr>
        <w:t>Notas de Desglose:</w:t>
      </w:r>
    </w:p>
    <w:p w:rsidR="00AF7634" w:rsidRDefault="00AF7634">
      <w:pPr>
        <w:jc w:val="both"/>
      </w:pPr>
    </w:p>
    <w:p w:rsidR="00AF7634" w:rsidRPr="000B6AA3" w:rsidRDefault="0079353E">
      <w:pPr>
        <w:jc w:val="both"/>
        <w:rPr>
          <w:b/>
        </w:rPr>
      </w:pPr>
      <w:r>
        <w:rPr>
          <w:b/>
        </w:rPr>
        <w:t>Al Estado de Situación de Financiera del Gobierno Estatal Consolidado</w:t>
      </w:r>
    </w:p>
    <w:p w:rsidR="00AF7634" w:rsidRDefault="00AF7634">
      <w:pPr>
        <w:jc w:val="both"/>
      </w:pPr>
    </w:p>
    <w:p w:rsidR="00AF7634" w:rsidRPr="000B6AA3" w:rsidRDefault="0079353E">
      <w:pPr>
        <w:jc w:val="both"/>
        <w:rPr>
          <w:b/>
        </w:rPr>
      </w:pPr>
      <w:r>
        <w:rPr>
          <w:b/>
        </w:rPr>
        <w:t>Activo</w:t>
      </w:r>
    </w:p>
    <w:p w:rsidR="00AF7634" w:rsidRDefault="00AF7634">
      <w:pPr>
        <w:jc w:val="both"/>
      </w:pPr>
    </w:p>
    <w:p w:rsidR="00AF7634" w:rsidRDefault="0079353E">
      <w:pPr>
        <w:jc w:val="both"/>
      </w:pPr>
      <w:r>
        <w:t>El activo se compone de fondos, valores, derechos y bienes cuantificados en términos monetarios, los cuales controla, administra y dispone el Gobierno Estatal para la prestación de servicios públicos, el cual se integra de:</w:t>
      </w:r>
    </w:p>
    <w:p w:rsidR="00AF7634" w:rsidRDefault="00AF7634">
      <w:pPr>
        <w:jc w:val="both"/>
      </w:pPr>
    </w:p>
    <w:p w:rsidR="00AF7634" w:rsidRDefault="0079353E">
      <w:pPr>
        <w:jc w:val="both"/>
        <w:rPr>
          <w:b/>
          <w:u w:val="single"/>
        </w:rPr>
      </w:pPr>
      <w:r>
        <w:rPr>
          <w:b/>
          <w:u w:val="single"/>
        </w:rPr>
        <w:t>Circulante.</w:t>
      </w:r>
    </w:p>
    <w:p w:rsidR="00AF7634" w:rsidRDefault="00AF7634">
      <w:pPr>
        <w:jc w:val="both"/>
      </w:pPr>
    </w:p>
    <w:p w:rsidR="00AF7634" w:rsidRDefault="0079353E">
      <w:pPr>
        <w:jc w:val="both"/>
        <w:rPr>
          <w:b/>
        </w:rPr>
      </w:pPr>
      <w:r>
        <w:rPr>
          <w:b/>
        </w:rPr>
        <w:t>Nota 1.- Efectivo y Equivalentes.</w:t>
      </w:r>
    </w:p>
    <w:p w:rsidR="00AF7634" w:rsidRDefault="00AF7634">
      <w:pPr>
        <w:jc w:val="both"/>
      </w:pPr>
    </w:p>
    <w:p w:rsidR="000B6AA3" w:rsidRDefault="0079353E" w:rsidP="000B6AA3">
      <w:pPr>
        <w:jc w:val="both"/>
      </w:pPr>
      <w:r>
        <w:t xml:space="preserve">El rubro de efectivo y equivalentes </w:t>
      </w:r>
      <w:r w:rsidR="00536E2E">
        <w:t>al 30 de junio de 2022</w:t>
      </w:r>
      <w:r>
        <w:t xml:space="preserve">  comparado con el mismo periodo de 2021,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rsidR="000B6AA3" w:rsidRDefault="000B6AA3" w:rsidP="000B6AA3">
      <w:pPr>
        <w:jc w:val="both"/>
      </w:pPr>
    </w:p>
    <w:p w:rsidR="000B6AA3" w:rsidRDefault="000B6AA3" w:rsidP="000B6AA3">
      <w:pPr>
        <w:jc w:val="center"/>
      </w:pPr>
    </w:p>
    <w:p w:rsidR="00AF7634" w:rsidRPr="000B6AA3" w:rsidRDefault="0079353E" w:rsidP="000B6AA3">
      <w:pPr>
        <w:jc w:val="center"/>
      </w:pPr>
      <w:r>
        <w:rPr>
          <w:b/>
        </w:rPr>
        <w:t>(Pesos)</w:t>
      </w:r>
    </w:p>
    <w:tbl>
      <w:tblPr>
        <w:tblW w:w="8781" w:type="dxa"/>
        <w:tblInd w:w="55" w:type="dxa"/>
        <w:tblCellMar>
          <w:left w:w="70" w:type="dxa"/>
          <w:right w:w="70" w:type="dxa"/>
        </w:tblCellMar>
        <w:tblLook w:val="04A0" w:firstRow="1" w:lastRow="0" w:firstColumn="1" w:lastColumn="0" w:noHBand="0" w:noVBand="1"/>
      </w:tblPr>
      <w:tblGrid>
        <w:gridCol w:w="3715"/>
        <w:gridCol w:w="2557"/>
        <w:gridCol w:w="2509"/>
      </w:tblGrid>
      <w:tr w:rsidR="006462B6" w:rsidRPr="006462B6" w:rsidTr="006462B6">
        <w:trPr>
          <w:trHeight w:val="315"/>
        </w:trPr>
        <w:tc>
          <w:tcPr>
            <w:tcW w:w="3715"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557"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09"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300"/>
        </w:trPr>
        <w:tc>
          <w:tcPr>
            <w:tcW w:w="371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557"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6,371,940,799</w:t>
            </w:r>
          </w:p>
        </w:tc>
        <w:tc>
          <w:tcPr>
            <w:tcW w:w="2509"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4,500,230,665</w:t>
            </w:r>
          </w:p>
        </w:tc>
      </w:tr>
      <w:tr w:rsidR="006462B6" w:rsidRPr="006462B6" w:rsidTr="006462B6">
        <w:trPr>
          <w:trHeight w:val="300"/>
        </w:trPr>
        <w:tc>
          <w:tcPr>
            <w:tcW w:w="371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557"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12,351,915</w:t>
            </w:r>
          </w:p>
        </w:tc>
        <w:tc>
          <w:tcPr>
            <w:tcW w:w="2509"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15,946,906</w:t>
            </w:r>
          </w:p>
        </w:tc>
      </w:tr>
      <w:tr w:rsidR="006462B6" w:rsidRPr="006462B6" w:rsidTr="006462B6">
        <w:trPr>
          <w:trHeight w:val="300"/>
        </w:trPr>
        <w:tc>
          <w:tcPr>
            <w:tcW w:w="371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557"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68,904,011</w:t>
            </w:r>
          </w:p>
        </w:tc>
        <w:tc>
          <w:tcPr>
            <w:tcW w:w="2509"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81,225,316</w:t>
            </w:r>
          </w:p>
        </w:tc>
      </w:tr>
      <w:tr w:rsidR="006462B6" w:rsidRPr="006462B6" w:rsidTr="006462B6">
        <w:trPr>
          <w:trHeight w:val="315"/>
        </w:trPr>
        <w:tc>
          <w:tcPr>
            <w:tcW w:w="371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557" w:type="dxa"/>
            <w:tcBorders>
              <w:top w:val="nil"/>
              <w:left w:val="nil"/>
              <w:bottom w:val="single" w:sz="8" w:space="0" w:color="auto"/>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68,646,146</w:t>
            </w:r>
          </w:p>
        </w:tc>
        <w:tc>
          <w:tcPr>
            <w:tcW w:w="2509" w:type="dxa"/>
            <w:tcBorders>
              <w:top w:val="nil"/>
              <w:left w:val="nil"/>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63,964,782</w:t>
            </w:r>
          </w:p>
        </w:tc>
      </w:tr>
      <w:tr w:rsidR="006462B6" w:rsidRPr="006462B6" w:rsidTr="006462B6">
        <w:trPr>
          <w:trHeight w:val="330"/>
        </w:trPr>
        <w:tc>
          <w:tcPr>
            <w:tcW w:w="3715"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557"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6,521,842,871</w:t>
            </w:r>
          </w:p>
        </w:tc>
        <w:tc>
          <w:tcPr>
            <w:tcW w:w="2509"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4,661,367,669</w:t>
            </w:r>
          </w:p>
        </w:tc>
      </w:tr>
    </w:tbl>
    <w:p w:rsidR="00AF7634" w:rsidRDefault="00AF7634" w:rsidP="006462B6">
      <w:pPr>
        <w:jc w:val="center"/>
        <w:rPr>
          <w:b/>
        </w:rPr>
      </w:pPr>
    </w:p>
    <w:p w:rsidR="00AF7634" w:rsidRDefault="00AF7634">
      <w:pPr>
        <w:rPr>
          <w:b/>
        </w:rPr>
      </w:pPr>
    </w:p>
    <w:p w:rsidR="000B6AA3" w:rsidRDefault="000B6AA3">
      <w:pPr>
        <w:jc w:val="both"/>
        <w:rPr>
          <w:b/>
        </w:rPr>
      </w:pPr>
    </w:p>
    <w:p w:rsidR="000B6AA3" w:rsidRDefault="000B6AA3">
      <w:pPr>
        <w:jc w:val="both"/>
        <w:rPr>
          <w:b/>
        </w:rPr>
      </w:pPr>
      <w:bookmarkStart w:id="0" w:name="_GoBack"/>
      <w:bookmarkEnd w:id="0"/>
    </w:p>
    <w:p w:rsidR="000B6AA3" w:rsidRDefault="000B6AA3">
      <w:pPr>
        <w:jc w:val="both"/>
        <w:rPr>
          <w:b/>
        </w:rPr>
      </w:pPr>
    </w:p>
    <w:p w:rsidR="00AF7634" w:rsidRDefault="0079353E">
      <w:pPr>
        <w:jc w:val="both"/>
      </w:pPr>
      <w:r>
        <w:rPr>
          <w:b/>
        </w:rPr>
        <w:lastRenderedPageBreak/>
        <w:t>Nota 2.- Derechos a Recibir Efectivo y Equivalentes</w:t>
      </w:r>
      <w:r>
        <w:t>.</w:t>
      </w:r>
    </w:p>
    <w:p w:rsidR="00AF7634" w:rsidRDefault="00AF7634">
      <w:pPr>
        <w:jc w:val="both"/>
      </w:pPr>
    </w:p>
    <w:p w:rsidR="00AF7634" w:rsidRDefault="00AF7634">
      <w:pPr>
        <w:jc w:val="both"/>
      </w:pPr>
    </w:p>
    <w:p w:rsidR="00AF7634" w:rsidRDefault="0079353E">
      <w:pPr>
        <w:jc w:val="both"/>
      </w:pPr>
      <w:r>
        <w:t xml:space="preserve">Este rubro consolidado </w:t>
      </w:r>
      <w:r w:rsidR="00536E2E">
        <w:t>al 30 de junio de 2022</w:t>
      </w:r>
      <w:r>
        <w:t xml:space="preserve"> comparado con el mismo periodo de 2021,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rsidR="00AF7634" w:rsidRDefault="00AF7634">
      <w:pPr>
        <w:jc w:val="both"/>
      </w:pPr>
    </w:p>
    <w:p w:rsidR="00AF7634" w:rsidRDefault="00AF7634">
      <w:pPr>
        <w:jc w:val="both"/>
      </w:pPr>
    </w:p>
    <w:p w:rsidR="00AF7634" w:rsidRDefault="0079353E">
      <w:pPr>
        <w:jc w:val="center"/>
        <w:rPr>
          <w:b/>
        </w:rPr>
      </w:pPr>
      <w:r>
        <w:rPr>
          <w:b/>
        </w:rPr>
        <w:t>(Pesos)</w:t>
      </w:r>
    </w:p>
    <w:tbl>
      <w:tblPr>
        <w:tblW w:w="8830" w:type="dxa"/>
        <w:tblInd w:w="55" w:type="dxa"/>
        <w:tblCellMar>
          <w:left w:w="70" w:type="dxa"/>
          <w:right w:w="70" w:type="dxa"/>
        </w:tblCellMar>
        <w:tblLook w:val="04A0" w:firstRow="1" w:lastRow="0" w:firstColumn="1" w:lastColumn="0" w:noHBand="0" w:noVBand="1"/>
      </w:tblPr>
      <w:tblGrid>
        <w:gridCol w:w="3736"/>
        <w:gridCol w:w="2571"/>
        <w:gridCol w:w="2523"/>
      </w:tblGrid>
      <w:tr w:rsidR="00D732D2" w:rsidRPr="00D732D2" w:rsidTr="00D732D2">
        <w:trPr>
          <w:trHeight w:val="298"/>
        </w:trPr>
        <w:tc>
          <w:tcPr>
            <w:tcW w:w="3736" w:type="dxa"/>
            <w:tcBorders>
              <w:top w:val="single" w:sz="8" w:space="0" w:color="auto"/>
              <w:left w:val="single" w:sz="8" w:space="0" w:color="auto"/>
              <w:bottom w:val="nil"/>
              <w:right w:val="single" w:sz="8" w:space="0" w:color="auto"/>
            </w:tcBorders>
            <w:shd w:val="clear" w:color="000000" w:fill="828282"/>
            <w:noWrap/>
            <w:vAlign w:val="center"/>
            <w:hideMark/>
          </w:tcPr>
          <w:p w:rsidR="00D732D2" w:rsidRPr="00D732D2" w:rsidRDefault="00D732D2" w:rsidP="00D732D2">
            <w:pPr>
              <w:jc w:val="center"/>
              <w:rPr>
                <w:rFonts w:eastAsia="Times New Roman" w:cs="Calibri"/>
                <w:b/>
                <w:bCs/>
                <w:color w:val="FFFFFF"/>
                <w:lang w:val="es-MX"/>
              </w:rPr>
            </w:pPr>
            <w:r w:rsidRPr="00D732D2">
              <w:rPr>
                <w:rFonts w:eastAsia="Times New Roman" w:cs="Calibri"/>
                <w:b/>
                <w:bCs/>
                <w:color w:val="FFFFFF"/>
                <w:lang w:val="es-MX"/>
              </w:rPr>
              <w:t>Concepto</w:t>
            </w:r>
          </w:p>
        </w:tc>
        <w:tc>
          <w:tcPr>
            <w:tcW w:w="2571" w:type="dxa"/>
            <w:tcBorders>
              <w:top w:val="single" w:sz="8" w:space="0" w:color="auto"/>
              <w:left w:val="nil"/>
              <w:bottom w:val="nil"/>
              <w:right w:val="nil"/>
            </w:tcBorders>
            <w:shd w:val="clear" w:color="000000" w:fill="828282"/>
            <w:noWrap/>
            <w:vAlign w:val="center"/>
            <w:hideMark/>
          </w:tcPr>
          <w:p w:rsidR="00D732D2" w:rsidRPr="00D732D2" w:rsidRDefault="00D732D2" w:rsidP="00D732D2">
            <w:pPr>
              <w:jc w:val="center"/>
              <w:rPr>
                <w:rFonts w:eastAsia="Times New Roman" w:cs="Calibri"/>
                <w:b/>
                <w:bCs/>
                <w:color w:val="FFFFFF"/>
                <w:lang w:val="es-MX"/>
              </w:rPr>
            </w:pPr>
            <w:r w:rsidRPr="00D732D2">
              <w:rPr>
                <w:rFonts w:eastAsia="Times New Roman" w:cs="Calibri"/>
                <w:b/>
                <w:bCs/>
                <w:color w:val="FFFFFF"/>
                <w:lang w:val="es-MX"/>
              </w:rPr>
              <w:t>2022</w:t>
            </w:r>
          </w:p>
        </w:tc>
        <w:tc>
          <w:tcPr>
            <w:tcW w:w="2523" w:type="dxa"/>
            <w:tcBorders>
              <w:top w:val="single" w:sz="8" w:space="0" w:color="auto"/>
              <w:left w:val="nil"/>
              <w:bottom w:val="nil"/>
              <w:right w:val="single" w:sz="8" w:space="0" w:color="auto"/>
            </w:tcBorders>
            <w:shd w:val="clear" w:color="000000" w:fill="828282"/>
            <w:noWrap/>
            <w:vAlign w:val="center"/>
            <w:hideMark/>
          </w:tcPr>
          <w:p w:rsidR="00D732D2" w:rsidRPr="00D732D2" w:rsidRDefault="00D732D2" w:rsidP="00D732D2">
            <w:pPr>
              <w:jc w:val="center"/>
              <w:rPr>
                <w:rFonts w:eastAsia="Times New Roman" w:cs="Calibri"/>
                <w:b/>
                <w:bCs/>
                <w:color w:val="FFFFFF"/>
                <w:lang w:val="es-MX"/>
              </w:rPr>
            </w:pPr>
            <w:r w:rsidRPr="00D732D2">
              <w:rPr>
                <w:rFonts w:eastAsia="Times New Roman" w:cs="Calibri"/>
                <w:b/>
                <w:bCs/>
                <w:color w:val="FFFFFF"/>
                <w:lang w:val="es-MX"/>
              </w:rPr>
              <w:t>2021</w:t>
            </w:r>
          </w:p>
        </w:tc>
      </w:tr>
      <w:tr w:rsidR="00D732D2" w:rsidRPr="00D732D2" w:rsidTr="00D732D2">
        <w:trPr>
          <w:trHeight w:val="298"/>
        </w:trPr>
        <w:tc>
          <w:tcPr>
            <w:tcW w:w="3736"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PODER EJECUTIVO</w:t>
            </w:r>
          </w:p>
        </w:tc>
        <w:tc>
          <w:tcPr>
            <w:tcW w:w="2571" w:type="dxa"/>
            <w:tcBorders>
              <w:top w:val="nil"/>
              <w:left w:val="nil"/>
              <w:bottom w:val="nil"/>
              <w:right w:val="nil"/>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6,712,048,897</w:t>
            </w:r>
          </w:p>
        </w:tc>
        <w:tc>
          <w:tcPr>
            <w:tcW w:w="2523" w:type="dxa"/>
            <w:tcBorders>
              <w:top w:val="nil"/>
              <w:left w:val="nil"/>
              <w:bottom w:val="nil"/>
              <w:right w:val="single" w:sz="8" w:space="0" w:color="auto"/>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8,581,889,934</w:t>
            </w:r>
          </w:p>
        </w:tc>
      </w:tr>
      <w:tr w:rsidR="00D732D2" w:rsidRPr="00D732D2" w:rsidTr="00D732D2">
        <w:trPr>
          <w:trHeight w:val="298"/>
        </w:trPr>
        <w:tc>
          <w:tcPr>
            <w:tcW w:w="3736"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 xml:space="preserve">PODER LEGISLATIVO </w:t>
            </w:r>
          </w:p>
        </w:tc>
        <w:tc>
          <w:tcPr>
            <w:tcW w:w="2571" w:type="dxa"/>
            <w:tcBorders>
              <w:top w:val="nil"/>
              <w:left w:val="nil"/>
              <w:bottom w:val="nil"/>
              <w:right w:val="nil"/>
            </w:tcBorders>
            <w:shd w:val="clear" w:color="000000" w:fill="FFFFFF"/>
            <w:vAlign w:val="center"/>
            <w:hideMark/>
          </w:tcPr>
          <w:p w:rsidR="00D732D2" w:rsidRPr="00D732D2" w:rsidRDefault="00D732D2" w:rsidP="00D732D2">
            <w:pPr>
              <w:jc w:val="right"/>
              <w:rPr>
                <w:rFonts w:eastAsia="Times New Roman" w:cs="Calibri"/>
                <w:color w:val="000000"/>
                <w:sz w:val="22"/>
                <w:szCs w:val="22"/>
                <w:lang w:val="es-MX"/>
              </w:rPr>
            </w:pPr>
            <w:r w:rsidRPr="00D732D2">
              <w:rPr>
                <w:rFonts w:eastAsia="Times New Roman" w:cs="Calibri"/>
                <w:color w:val="000000"/>
                <w:sz w:val="22"/>
                <w:szCs w:val="22"/>
                <w:lang w:val="es-MX"/>
              </w:rPr>
              <w:t>64,153,442</w:t>
            </w:r>
          </w:p>
        </w:tc>
        <w:tc>
          <w:tcPr>
            <w:tcW w:w="2523" w:type="dxa"/>
            <w:tcBorders>
              <w:top w:val="nil"/>
              <w:left w:val="nil"/>
              <w:bottom w:val="nil"/>
              <w:right w:val="single" w:sz="8" w:space="0" w:color="auto"/>
            </w:tcBorders>
            <w:shd w:val="clear" w:color="000000" w:fill="FFFFFF"/>
            <w:vAlign w:val="center"/>
            <w:hideMark/>
          </w:tcPr>
          <w:p w:rsidR="00D732D2" w:rsidRPr="00D732D2" w:rsidRDefault="00D732D2" w:rsidP="00D732D2">
            <w:pPr>
              <w:jc w:val="right"/>
              <w:rPr>
                <w:rFonts w:eastAsia="Times New Roman" w:cs="Calibri"/>
                <w:color w:val="000000"/>
                <w:sz w:val="22"/>
                <w:szCs w:val="22"/>
                <w:lang w:val="es-MX"/>
              </w:rPr>
            </w:pPr>
            <w:r w:rsidRPr="00D732D2">
              <w:rPr>
                <w:rFonts w:eastAsia="Times New Roman" w:cs="Calibri"/>
                <w:color w:val="000000"/>
                <w:sz w:val="22"/>
                <w:szCs w:val="22"/>
                <w:lang w:val="es-MX"/>
              </w:rPr>
              <w:t>27,825,447</w:t>
            </w:r>
          </w:p>
        </w:tc>
      </w:tr>
      <w:tr w:rsidR="00D732D2" w:rsidRPr="00D732D2" w:rsidTr="00D732D2">
        <w:trPr>
          <w:trHeight w:val="298"/>
        </w:trPr>
        <w:tc>
          <w:tcPr>
            <w:tcW w:w="3736"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PODER JUDICIAL</w:t>
            </w:r>
          </w:p>
        </w:tc>
        <w:tc>
          <w:tcPr>
            <w:tcW w:w="2571" w:type="dxa"/>
            <w:tcBorders>
              <w:top w:val="nil"/>
              <w:left w:val="nil"/>
              <w:bottom w:val="nil"/>
              <w:right w:val="nil"/>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165,609,557</w:t>
            </w:r>
          </w:p>
        </w:tc>
        <w:tc>
          <w:tcPr>
            <w:tcW w:w="2523" w:type="dxa"/>
            <w:tcBorders>
              <w:top w:val="nil"/>
              <w:left w:val="nil"/>
              <w:bottom w:val="nil"/>
              <w:right w:val="single" w:sz="8" w:space="0" w:color="auto"/>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172,165,539</w:t>
            </w:r>
          </w:p>
        </w:tc>
      </w:tr>
      <w:tr w:rsidR="00D732D2" w:rsidRPr="00D732D2" w:rsidTr="00D732D2">
        <w:trPr>
          <w:trHeight w:val="313"/>
        </w:trPr>
        <w:tc>
          <w:tcPr>
            <w:tcW w:w="3736"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ÓRGANOS AUTÓNOMOS</w:t>
            </w:r>
          </w:p>
        </w:tc>
        <w:tc>
          <w:tcPr>
            <w:tcW w:w="2571" w:type="dxa"/>
            <w:tcBorders>
              <w:top w:val="nil"/>
              <w:left w:val="nil"/>
              <w:bottom w:val="single" w:sz="8" w:space="0" w:color="auto"/>
              <w:right w:val="nil"/>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230,718,904</w:t>
            </w:r>
          </w:p>
        </w:tc>
        <w:tc>
          <w:tcPr>
            <w:tcW w:w="2523" w:type="dxa"/>
            <w:tcBorders>
              <w:top w:val="nil"/>
              <w:left w:val="nil"/>
              <w:bottom w:val="single" w:sz="8" w:space="0" w:color="auto"/>
              <w:right w:val="single" w:sz="8" w:space="0" w:color="auto"/>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202,117,886</w:t>
            </w:r>
          </w:p>
        </w:tc>
      </w:tr>
      <w:tr w:rsidR="00D732D2" w:rsidRPr="00D732D2" w:rsidTr="00D732D2">
        <w:trPr>
          <w:trHeight w:val="313"/>
        </w:trPr>
        <w:tc>
          <w:tcPr>
            <w:tcW w:w="3736" w:type="dxa"/>
            <w:tcBorders>
              <w:top w:val="nil"/>
              <w:left w:val="single" w:sz="8" w:space="0" w:color="auto"/>
              <w:bottom w:val="single" w:sz="8" w:space="0" w:color="auto"/>
              <w:right w:val="single" w:sz="8" w:space="0" w:color="auto"/>
            </w:tcBorders>
            <w:shd w:val="clear" w:color="000000" w:fill="FFFFFF"/>
            <w:noWrap/>
            <w:vAlign w:val="center"/>
            <w:hideMark/>
          </w:tcPr>
          <w:p w:rsidR="00D732D2" w:rsidRPr="00D732D2" w:rsidRDefault="00D732D2" w:rsidP="00D732D2">
            <w:pPr>
              <w:jc w:val="right"/>
              <w:rPr>
                <w:rFonts w:eastAsia="Times New Roman" w:cs="Calibri"/>
                <w:b/>
                <w:bCs/>
                <w:color w:val="000000"/>
                <w:lang w:val="es-MX"/>
              </w:rPr>
            </w:pPr>
            <w:r w:rsidRPr="00D732D2">
              <w:rPr>
                <w:rFonts w:eastAsia="Times New Roman" w:cs="Calibri"/>
                <w:b/>
                <w:bCs/>
                <w:color w:val="000000"/>
                <w:lang w:val="es-MX"/>
              </w:rPr>
              <w:t>Suma</w:t>
            </w:r>
          </w:p>
        </w:tc>
        <w:tc>
          <w:tcPr>
            <w:tcW w:w="2571" w:type="dxa"/>
            <w:tcBorders>
              <w:top w:val="nil"/>
              <w:left w:val="nil"/>
              <w:bottom w:val="double" w:sz="6" w:space="0" w:color="auto"/>
              <w:right w:val="nil"/>
            </w:tcBorders>
            <w:shd w:val="clear" w:color="000000" w:fill="FFFFFF"/>
            <w:noWrap/>
            <w:vAlign w:val="center"/>
            <w:hideMark/>
          </w:tcPr>
          <w:p w:rsidR="00D732D2" w:rsidRPr="00D732D2" w:rsidRDefault="00D732D2" w:rsidP="00D732D2">
            <w:pPr>
              <w:jc w:val="right"/>
              <w:rPr>
                <w:rFonts w:eastAsia="Times New Roman" w:cs="Calibri"/>
                <w:b/>
                <w:bCs/>
                <w:color w:val="000000"/>
                <w:lang w:val="es-MX"/>
              </w:rPr>
            </w:pPr>
            <w:r w:rsidRPr="00D732D2">
              <w:rPr>
                <w:rFonts w:eastAsia="Times New Roman" w:cs="Calibri"/>
                <w:b/>
                <w:bCs/>
                <w:color w:val="000000"/>
                <w:lang w:val="es-MX"/>
              </w:rPr>
              <w:t>7,172,530,800</w:t>
            </w:r>
          </w:p>
        </w:tc>
        <w:tc>
          <w:tcPr>
            <w:tcW w:w="2523" w:type="dxa"/>
            <w:tcBorders>
              <w:top w:val="nil"/>
              <w:left w:val="nil"/>
              <w:bottom w:val="double" w:sz="6" w:space="0" w:color="auto"/>
              <w:right w:val="nil"/>
            </w:tcBorders>
            <w:shd w:val="clear" w:color="000000" w:fill="FFFFFF"/>
            <w:noWrap/>
            <w:vAlign w:val="center"/>
            <w:hideMark/>
          </w:tcPr>
          <w:p w:rsidR="00D732D2" w:rsidRPr="00D732D2" w:rsidRDefault="00D732D2" w:rsidP="00D732D2">
            <w:pPr>
              <w:jc w:val="right"/>
              <w:rPr>
                <w:rFonts w:eastAsia="Times New Roman" w:cs="Calibri"/>
                <w:b/>
                <w:bCs/>
                <w:color w:val="000000"/>
                <w:lang w:val="es-MX"/>
              </w:rPr>
            </w:pPr>
            <w:r w:rsidRPr="00D732D2">
              <w:rPr>
                <w:rFonts w:eastAsia="Times New Roman" w:cs="Calibri"/>
                <w:b/>
                <w:bCs/>
                <w:color w:val="000000"/>
                <w:lang w:val="es-MX"/>
              </w:rPr>
              <w:t>8,983,998,806</w:t>
            </w:r>
          </w:p>
        </w:tc>
      </w:tr>
    </w:tbl>
    <w:p w:rsidR="00AF7634" w:rsidRDefault="00AF7634">
      <w:pPr>
        <w:rPr>
          <w:b/>
        </w:rPr>
      </w:pPr>
    </w:p>
    <w:p w:rsidR="00AF7634" w:rsidRDefault="00AF7634">
      <w:pPr>
        <w:rPr>
          <w:b/>
        </w:rPr>
      </w:pPr>
    </w:p>
    <w:p w:rsidR="00AF7634" w:rsidRDefault="0079353E">
      <w:pPr>
        <w:jc w:val="both"/>
      </w:pPr>
      <w:r>
        <w:rPr>
          <w:b/>
        </w:rPr>
        <w:t>Nota 3.- Derechos a Recibir Bienes y Servicios</w:t>
      </w:r>
      <w:r>
        <w:t>.</w:t>
      </w:r>
    </w:p>
    <w:p w:rsidR="00AF7634" w:rsidRDefault="00AF7634">
      <w:pPr>
        <w:jc w:val="both"/>
      </w:pPr>
    </w:p>
    <w:p w:rsidR="00AF7634" w:rsidRDefault="00AF7634">
      <w:pPr>
        <w:jc w:val="both"/>
      </w:pPr>
    </w:p>
    <w:p w:rsidR="00AF7634" w:rsidRDefault="0079353E">
      <w:pPr>
        <w:jc w:val="both"/>
      </w:pPr>
      <w:r>
        <w:t xml:space="preserve">El saldo </w:t>
      </w:r>
      <w:r w:rsidR="00536E2E">
        <w:t>al 30 de junio de 2022</w:t>
      </w:r>
      <w:r>
        <w:t xml:space="preserve"> en comparación con el mismo periodo del 2021,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rsidR="000B6AA3" w:rsidRDefault="000B6AA3">
      <w:pPr>
        <w:jc w:val="both"/>
      </w:pPr>
    </w:p>
    <w:p w:rsidR="00AF7634" w:rsidRDefault="00AF7634">
      <w:pPr>
        <w:jc w:val="both"/>
      </w:pPr>
    </w:p>
    <w:p w:rsidR="00AF7634" w:rsidRDefault="0079353E">
      <w:pPr>
        <w:jc w:val="center"/>
        <w:rPr>
          <w:b/>
        </w:rPr>
      </w:pPr>
      <w:r>
        <w:rPr>
          <w:b/>
        </w:rPr>
        <w:t>(Pesos)</w:t>
      </w:r>
    </w:p>
    <w:tbl>
      <w:tblPr>
        <w:tblW w:w="8750" w:type="dxa"/>
        <w:tblInd w:w="55" w:type="dxa"/>
        <w:tblCellMar>
          <w:left w:w="70" w:type="dxa"/>
          <w:right w:w="70" w:type="dxa"/>
        </w:tblCellMar>
        <w:tblLook w:val="04A0" w:firstRow="1" w:lastRow="0" w:firstColumn="1" w:lastColumn="0" w:noHBand="0" w:noVBand="1"/>
      </w:tblPr>
      <w:tblGrid>
        <w:gridCol w:w="3702"/>
        <w:gridCol w:w="2548"/>
        <w:gridCol w:w="2500"/>
      </w:tblGrid>
      <w:tr w:rsidR="006462B6" w:rsidRPr="006462B6" w:rsidTr="006462B6">
        <w:trPr>
          <w:trHeight w:val="308"/>
        </w:trPr>
        <w:tc>
          <w:tcPr>
            <w:tcW w:w="3702"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548"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00"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293"/>
        </w:trPr>
        <w:tc>
          <w:tcPr>
            <w:tcW w:w="3702"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548"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285,326,159</w:t>
            </w:r>
          </w:p>
        </w:tc>
        <w:tc>
          <w:tcPr>
            <w:tcW w:w="2500"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251,803,793</w:t>
            </w:r>
          </w:p>
        </w:tc>
      </w:tr>
      <w:tr w:rsidR="006462B6" w:rsidRPr="006462B6" w:rsidTr="006462B6">
        <w:trPr>
          <w:trHeight w:val="293"/>
        </w:trPr>
        <w:tc>
          <w:tcPr>
            <w:tcW w:w="3702"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548"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3,081,319</w:t>
            </w:r>
          </w:p>
        </w:tc>
        <w:tc>
          <w:tcPr>
            <w:tcW w:w="2500"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32,816,599</w:t>
            </w:r>
          </w:p>
        </w:tc>
      </w:tr>
      <w:tr w:rsidR="006462B6" w:rsidRPr="006462B6" w:rsidTr="006462B6">
        <w:trPr>
          <w:trHeight w:val="293"/>
        </w:trPr>
        <w:tc>
          <w:tcPr>
            <w:tcW w:w="3702"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548"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0</w:t>
            </w:r>
          </w:p>
        </w:tc>
        <w:tc>
          <w:tcPr>
            <w:tcW w:w="2500"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0</w:t>
            </w:r>
          </w:p>
        </w:tc>
      </w:tr>
      <w:tr w:rsidR="006462B6" w:rsidRPr="006462B6" w:rsidTr="006462B6">
        <w:trPr>
          <w:trHeight w:val="308"/>
        </w:trPr>
        <w:tc>
          <w:tcPr>
            <w:tcW w:w="3702"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548" w:type="dxa"/>
            <w:tcBorders>
              <w:top w:val="nil"/>
              <w:left w:val="nil"/>
              <w:bottom w:val="single" w:sz="8" w:space="0" w:color="auto"/>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5,144,398</w:t>
            </w:r>
          </w:p>
        </w:tc>
        <w:tc>
          <w:tcPr>
            <w:tcW w:w="2500" w:type="dxa"/>
            <w:tcBorders>
              <w:top w:val="nil"/>
              <w:left w:val="nil"/>
              <w:bottom w:val="single" w:sz="8" w:space="0" w:color="auto"/>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7,359,210</w:t>
            </w:r>
          </w:p>
        </w:tc>
      </w:tr>
      <w:tr w:rsidR="006462B6" w:rsidRPr="006462B6" w:rsidTr="006462B6">
        <w:trPr>
          <w:trHeight w:val="322"/>
        </w:trPr>
        <w:tc>
          <w:tcPr>
            <w:tcW w:w="3702"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548"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293,551,877</w:t>
            </w:r>
          </w:p>
        </w:tc>
        <w:tc>
          <w:tcPr>
            <w:tcW w:w="2500"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291,979,602</w:t>
            </w:r>
          </w:p>
        </w:tc>
      </w:tr>
    </w:tbl>
    <w:p w:rsidR="00AF7634" w:rsidRDefault="00AF7634">
      <w:pPr>
        <w:jc w:val="both"/>
        <w:rPr>
          <w:b/>
          <w:u w:val="single"/>
        </w:rPr>
      </w:pPr>
    </w:p>
    <w:p w:rsidR="00AF7634" w:rsidRDefault="00AF7634">
      <w:pPr>
        <w:jc w:val="both"/>
        <w:rPr>
          <w:b/>
          <w:u w:val="single"/>
        </w:rPr>
      </w:pPr>
    </w:p>
    <w:p w:rsidR="000B6AA3" w:rsidRDefault="000B6AA3">
      <w:pPr>
        <w:jc w:val="both"/>
        <w:rPr>
          <w:b/>
          <w:u w:val="single"/>
        </w:rPr>
      </w:pPr>
    </w:p>
    <w:p w:rsidR="00AF7634" w:rsidRDefault="0079353E">
      <w:pPr>
        <w:jc w:val="both"/>
        <w:rPr>
          <w:b/>
          <w:u w:val="single"/>
        </w:rPr>
      </w:pPr>
      <w:r>
        <w:rPr>
          <w:b/>
          <w:u w:val="single"/>
        </w:rPr>
        <w:lastRenderedPageBreak/>
        <w:t>No Circulante.</w:t>
      </w:r>
    </w:p>
    <w:p w:rsidR="00AF7634" w:rsidRDefault="00AF7634">
      <w:pPr>
        <w:jc w:val="both"/>
        <w:rPr>
          <w:b/>
        </w:rPr>
      </w:pPr>
    </w:p>
    <w:p w:rsidR="00AF7634" w:rsidRDefault="00AF7634">
      <w:pPr>
        <w:jc w:val="both"/>
        <w:rPr>
          <w:b/>
        </w:rPr>
      </w:pPr>
    </w:p>
    <w:p w:rsidR="00AF7634" w:rsidRDefault="0079353E">
      <w:pPr>
        <w:jc w:val="both"/>
      </w:pPr>
      <w:r>
        <w:rPr>
          <w:b/>
        </w:rPr>
        <w:t>Nota 4.- Inversiones Financieras a Largo Plazo.</w:t>
      </w:r>
    </w:p>
    <w:p w:rsidR="00AF7634" w:rsidRDefault="00AF7634">
      <w:pPr>
        <w:jc w:val="both"/>
      </w:pPr>
    </w:p>
    <w:p w:rsidR="00AF7634" w:rsidRDefault="00AF7634">
      <w:pPr>
        <w:jc w:val="both"/>
      </w:pPr>
    </w:p>
    <w:p w:rsidR="00AF7634" w:rsidRDefault="0079353E">
      <w:pPr>
        <w:jc w:val="both"/>
      </w:pPr>
      <w: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536E2E">
        <w:t>al 30 de junio de 2022</w:t>
      </w:r>
      <w:r>
        <w:t xml:space="preserve"> comparado con el mismo periodo del 2021, se muestra a continuación:</w:t>
      </w:r>
    </w:p>
    <w:p w:rsidR="00AF7634" w:rsidRDefault="00AF7634">
      <w:pPr>
        <w:jc w:val="both"/>
      </w:pPr>
    </w:p>
    <w:p w:rsidR="00AF7634" w:rsidRDefault="00AF7634">
      <w:pPr>
        <w:jc w:val="both"/>
      </w:pPr>
    </w:p>
    <w:p w:rsidR="00AF7634" w:rsidRDefault="0079353E">
      <w:pPr>
        <w:jc w:val="center"/>
        <w:rPr>
          <w:b/>
        </w:rPr>
      </w:pPr>
      <w:r>
        <w:rPr>
          <w:b/>
        </w:rPr>
        <w:t>(Pesos)</w:t>
      </w:r>
    </w:p>
    <w:tbl>
      <w:tblPr>
        <w:tblW w:w="9280" w:type="dxa"/>
        <w:tblInd w:w="55" w:type="dxa"/>
        <w:tblCellMar>
          <w:left w:w="70" w:type="dxa"/>
          <w:right w:w="70" w:type="dxa"/>
        </w:tblCellMar>
        <w:tblLook w:val="04A0" w:firstRow="1" w:lastRow="0" w:firstColumn="1" w:lastColumn="0" w:noHBand="0" w:noVBand="1"/>
      </w:tblPr>
      <w:tblGrid>
        <w:gridCol w:w="4840"/>
        <w:gridCol w:w="2420"/>
        <w:gridCol w:w="2020"/>
      </w:tblGrid>
      <w:tr w:rsidR="006462B6" w:rsidRPr="006462B6" w:rsidTr="006462B6">
        <w:trPr>
          <w:trHeight w:val="330"/>
        </w:trPr>
        <w:tc>
          <w:tcPr>
            <w:tcW w:w="4840" w:type="dxa"/>
            <w:tcBorders>
              <w:top w:val="single" w:sz="8" w:space="0" w:color="auto"/>
              <w:left w:val="single" w:sz="8" w:space="0" w:color="auto"/>
              <w:bottom w:val="single" w:sz="8" w:space="0" w:color="auto"/>
              <w:right w:val="single" w:sz="8" w:space="0" w:color="auto"/>
            </w:tcBorders>
            <w:shd w:val="clear" w:color="000000" w:fill="828282"/>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420" w:type="dxa"/>
            <w:tcBorders>
              <w:top w:val="single" w:sz="8" w:space="0" w:color="auto"/>
              <w:left w:val="nil"/>
              <w:bottom w:val="single" w:sz="8" w:space="0" w:color="auto"/>
              <w:right w:val="single" w:sz="8" w:space="0" w:color="auto"/>
            </w:tcBorders>
            <w:shd w:val="clear" w:color="000000" w:fill="828282"/>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020" w:type="dxa"/>
            <w:tcBorders>
              <w:top w:val="single" w:sz="8" w:space="0" w:color="auto"/>
              <w:left w:val="nil"/>
              <w:bottom w:val="single" w:sz="8" w:space="0" w:color="auto"/>
              <w:right w:val="single" w:sz="8" w:space="0" w:color="auto"/>
            </w:tcBorders>
            <w:shd w:val="clear" w:color="000000" w:fill="828282"/>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315"/>
        </w:trPr>
        <w:tc>
          <w:tcPr>
            <w:tcW w:w="4840" w:type="dxa"/>
            <w:tcBorders>
              <w:top w:val="nil"/>
              <w:left w:val="single" w:sz="8" w:space="0" w:color="auto"/>
              <w:bottom w:val="single" w:sz="8" w:space="0" w:color="auto"/>
              <w:right w:val="single" w:sz="8" w:space="0" w:color="auto"/>
            </w:tcBorders>
            <w:shd w:val="clear" w:color="000000" w:fill="FFFFFF"/>
            <w:vAlign w:val="center"/>
            <w:hideMark/>
          </w:tcPr>
          <w:p w:rsidR="006462B6" w:rsidRPr="006462B6" w:rsidRDefault="006462B6" w:rsidP="006462B6">
            <w:pPr>
              <w:rPr>
                <w:rFonts w:eastAsia="Times New Roman" w:cs="Calibri"/>
                <w:color w:val="000000"/>
                <w:lang w:val="es-MX"/>
              </w:rPr>
            </w:pPr>
            <w:r>
              <w:rPr>
                <w:rFonts w:eastAsia="Times New Roman" w:cs="Calibri"/>
                <w:color w:val="000000"/>
                <w:lang w:val="es-MX"/>
              </w:rPr>
              <w:t>PODER EJECUTIVO</w:t>
            </w:r>
            <w:r w:rsidRPr="006462B6">
              <w:rPr>
                <w:rFonts w:eastAsia="Times New Roman" w:cs="Calibri"/>
                <w:color w:val="000000"/>
                <w:lang w:val="es-MX"/>
              </w:rPr>
              <w:t xml:space="preserve"> </w:t>
            </w:r>
          </w:p>
        </w:tc>
        <w:tc>
          <w:tcPr>
            <w:tcW w:w="2420" w:type="dxa"/>
            <w:tcBorders>
              <w:top w:val="nil"/>
              <w:left w:val="nil"/>
              <w:bottom w:val="single" w:sz="8" w:space="0" w:color="auto"/>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591,785,237</w:t>
            </w:r>
          </w:p>
        </w:tc>
        <w:tc>
          <w:tcPr>
            <w:tcW w:w="2020" w:type="dxa"/>
            <w:tcBorders>
              <w:top w:val="nil"/>
              <w:left w:val="nil"/>
              <w:bottom w:val="single" w:sz="8" w:space="0" w:color="auto"/>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953,683,664</w:t>
            </w:r>
          </w:p>
        </w:tc>
      </w:tr>
      <w:tr w:rsidR="006462B6" w:rsidRPr="006462B6" w:rsidTr="006462B6">
        <w:trPr>
          <w:trHeight w:val="330"/>
        </w:trPr>
        <w:tc>
          <w:tcPr>
            <w:tcW w:w="4840"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420" w:type="dxa"/>
            <w:tcBorders>
              <w:top w:val="nil"/>
              <w:left w:val="nil"/>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591,785,237</w:t>
            </w:r>
          </w:p>
        </w:tc>
        <w:tc>
          <w:tcPr>
            <w:tcW w:w="2020" w:type="dxa"/>
            <w:tcBorders>
              <w:top w:val="nil"/>
              <w:left w:val="nil"/>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953,683,664</w:t>
            </w:r>
          </w:p>
        </w:tc>
      </w:tr>
    </w:tbl>
    <w:p w:rsidR="00AF7634" w:rsidRDefault="00AF7634">
      <w:pPr>
        <w:jc w:val="both"/>
        <w:rPr>
          <w:b/>
        </w:rPr>
      </w:pPr>
    </w:p>
    <w:p w:rsidR="000B6AA3" w:rsidRDefault="000B6AA3">
      <w:pPr>
        <w:jc w:val="both"/>
        <w:rPr>
          <w:b/>
        </w:rPr>
      </w:pPr>
    </w:p>
    <w:p w:rsidR="000B6AA3" w:rsidRDefault="000B6AA3">
      <w:pPr>
        <w:jc w:val="both"/>
        <w:rPr>
          <w:b/>
        </w:rPr>
      </w:pPr>
    </w:p>
    <w:p w:rsidR="00AF7634" w:rsidRDefault="0079353E">
      <w:pPr>
        <w:jc w:val="both"/>
        <w:rPr>
          <w:b/>
        </w:rPr>
      </w:pPr>
      <w:r>
        <w:rPr>
          <w:b/>
        </w:rPr>
        <w:t>Nota 5.- Bienes Inmuebles, Infraestructura y Construcciones en Proceso.</w:t>
      </w:r>
    </w:p>
    <w:p w:rsidR="00AF7634" w:rsidRDefault="00AF7634">
      <w:pPr>
        <w:jc w:val="both"/>
      </w:pPr>
    </w:p>
    <w:p w:rsidR="00AF7634" w:rsidRDefault="00AF7634">
      <w:pPr>
        <w:jc w:val="both"/>
      </w:pPr>
    </w:p>
    <w:p w:rsidR="000B6AA3" w:rsidRDefault="0079353E">
      <w:pPr>
        <w:jc w:val="both"/>
      </w:pPr>
      <w: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536E2E">
        <w:t>al 30 de junio de 2022</w:t>
      </w:r>
      <w:r>
        <w:t xml:space="preserve"> comparado con el mismo periodo del 2021, s</w:t>
      </w:r>
      <w:r w:rsidR="000B6AA3">
        <w:t>e integra de la siguiente forma:</w:t>
      </w:r>
    </w:p>
    <w:p w:rsidR="006462B6" w:rsidRDefault="006462B6">
      <w:pPr>
        <w:jc w:val="both"/>
      </w:pPr>
    </w:p>
    <w:p w:rsidR="00AF7634" w:rsidRDefault="00AF7634">
      <w:pPr>
        <w:jc w:val="both"/>
      </w:pPr>
    </w:p>
    <w:p w:rsidR="00AF7634" w:rsidRDefault="00AF7634">
      <w:pPr>
        <w:jc w:val="both"/>
      </w:pPr>
    </w:p>
    <w:p w:rsidR="00AF7634" w:rsidRDefault="0079353E">
      <w:pPr>
        <w:jc w:val="center"/>
        <w:rPr>
          <w:b/>
        </w:rPr>
      </w:pPr>
      <w:r>
        <w:rPr>
          <w:b/>
        </w:rPr>
        <w:t>(Pesos)</w:t>
      </w:r>
    </w:p>
    <w:tbl>
      <w:tblPr>
        <w:tblW w:w="8946" w:type="dxa"/>
        <w:tblInd w:w="55" w:type="dxa"/>
        <w:tblCellMar>
          <w:left w:w="70" w:type="dxa"/>
          <w:right w:w="70" w:type="dxa"/>
        </w:tblCellMar>
        <w:tblLook w:val="04A0" w:firstRow="1" w:lastRow="0" w:firstColumn="1" w:lastColumn="0" w:noHBand="0" w:noVBand="1"/>
      </w:tblPr>
      <w:tblGrid>
        <w:gridCol w:w="3785"/>
        <w:gridCol w:w="2605"/>
        <w:gridCol w:w="2556"/>
      </w:tblGrid>
      <w:tr w:rsidR="006462B6" w:rsidRPr="006462B6" w:rsidTr="006462B6">
        <w:trPr>
          <w:trHeight w:val="303"/>
        </w:trPr>
        <w:tc>
          <w:tcPr>
            <w:tcW w:w="3785"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605"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56"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288"/>
        </w:trPr>
        <w:tc>
          <w:tcPr>
            <w:tcW w:w="378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605"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15,015,270,654</w:t>
            </w:r>
          </w:p>
        </w:tc>
        <w:tc>
          <w:tcPr>
            <w:tcW w:w="2556"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13,961,409,497</w:t>
            </w:r>
          </w:p>
        </w:tc>
      </w:tr>
      <w:tr w:rsidR="006462B6" w:rsidRPr="006462B6" w:rsidTr="006462B6">
        <w:trPr>
          <w:trHeight w:val="288"/>
        </w:trPr>
        <w:tc>
          <w:tcPr>
            <w:tcW w:w="378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605"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52,716,290</w:t>
            </w:r>
          </w:p>
        </w:tc>
        <w:tc>
          <w:tcPr>
            <w:tcW w:w="2556"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52,716,290</w:t>
            </w:r>
          </w:p>
        </w:tc>
      </w:tr>
      <w:tr w:rsidR="006462B6" w:rsidRPr="006462B6" w:rsidTr="006462B6">
        <w:trPr>
          <w:trHeight w:val="288"/>
        </w:trPr>
        <w:tc>
          <w:tcPr>
            <w:tcW w:w="378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605"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485,075,849</w:t>
            </w:r>
          </w:p>
        </w:tc>
        <w:tc>
          <w:tcPr>
            <w:tcW w:w="2556"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472,923,735</w:t>
            </w:r>
          </w:p>
        </w:tc>
      </w:tr>
      <w:tr w:rsidR="006462B6" w:rsidRPr="006462B6" w:rsidTr="006462B6">
        <w:trPr>
          <w:trHeight w:val="303"/>
        </w:trPr>
        <w:tc>
          <w:tcPr>
            <w:tcW w:w="3785"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605" w:type="dxa"/>
            <w:tcBorders>
              <w:top w:val="nil"/>
              <w:left w:val="nil"/>
              <w:bottom w:val="single" w:sz="8" w:space="0" w:color="auto"/>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223,220,387</w:t>
            </w:r>
          </w:p>
        </w:tc>
        <w:tc>
          <w:tcPr>
            <w:tcW w:w="2556" w:type="dxa"/>
            <w:tcBorders>
              <w:top w:val="nil"/>
              <w:left w:val="nil"/>
              <w:bottom w:val="single" w:sz="8" w:space="0" w:color="auto"/>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204,707,748</w:t>
            </w:r>
          </w:p>
        </w:tc>
      </w:tr>
      <w:tr w:rsidR="006462B6" w:rsidRPr="006462B6" w:rsidTr="006462B6">
        <w:trPr>
          <w:trHeight w:val="317"/>
        </w:trPr>
        <w:tc>
          <w:tcPr>
            <w:tcW w:w="3785"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605"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15,776,283,179</w:t>
            </w:r>
          </w:p>
        </w:tc>
        <w:tc>
          <w:tcPr>
            <w:tcW w:w="2556"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14,691,757,270</w:t>
            </w:r>
          </w:p>
        </w:tc>
      </w:tr>
    </w:tbl>
    <w:p w:rsidR="00AF7634" w:rsidRDefault="00AF7634">
      <w:pPr>
        <w:jc w:val="center"/>
        <w:rPr>
          <w:b/>
        </w:rPr>
      </w:pPr>
    </w:p>
    <w:p w:rsidR="00AF7634" w:rsidRDefault="0079353E">
      <w:pPr>
        <w:jc w:val="both"/>
      </w:pPr>
      <w:r>
        <w:rPr>
          <w:b/>
        </w:rPr>
        <w:lastRenderedPageBreak/>
        <w:t>Nota 6.- Bienes Muebles.</w:t>
      </w:r>
    </w:p>
    <w:p w:rsidR="00AF7634" w:rsidRDefault="00AF7634">
      <w:pPr>
        <w:jc w:val="both"/>
      </w:pPr>
    </w:p>
    <w:p w:rsidR="00AF7634" w:rsidRDefault="00AF7634">
      <w:pPr>
        <w:jc w:val="both"/>
      </w:pPr>
    </w:p>
    <w:p w:rsidR="00AF7634" w:rsidRDefault="0079353E">
      <w:pPr>
        <w:jc w:val="both"/>
      </w:pPr>
      <w:r>
        <w:t>Este rubro refleja el valor de los bienes muebles que posee el Gobierno del Estado, los cuales son necesarios para cubrir la operatividad y el desarrollo de las funciones de los diferentes entes públicos que lo conforman.</w:t>
      </w:r>
    </w:p>
    <w:p w:rsidR="00AF7634" w:rsidRDefault="0079353E">
      <w:pPr>
        <w:jc w:val="both"/>
      </w:pPr>
      <w:r>
        <w:t xml:space="preserve"> </w:t>
      </w:r>
    </w:p>
    <w:p w:rsidR="00AF7634" w:rsidRDefault="0079353E">
      <w:pPr>
        <w:jc w:val="both"/>
      </w:pPr>
      <w:r>
        <w:t xml:space="preserve">El valor que representa </w:t>
      </w:r>
      <w:r w:rsidR="00536E2E">
        <w:t>al 30 de junio de 2022</w:t>
      </w:r>
      <w:r>
        <w:t xml:space="preserve"> comparado con el mismo periodo del 2021, se integra de la siguiente manera:</w:t>
      </w:r>
    </w:p>
    <w:p w:rsidR="00AF7634" w:rsidRDefault="00AF7634">
      <w:pPr>
        <w:jc w:val="both"/>
      </w:pPr>
    </w:p>
    <w:p w:rsidR="00AF7634" w:rsidRDefault="00AF7634">
      <w:pPr>
        <w:jc w:val="both"/>
      </w:pPr>
    </w:p>
    <w:p w:rsidR="00AF7634" w:rsidRDefault="0079353E">
      <w:pPr>
        <w:pBdr>
          <w:top w:val="nil"/>
          <w:left w:val="nil"/>
          <w:bottom w:val="nil"/>
          <w:right w:val="nil"/>
          <w:between w:val="nil"/>
        </w:pBdr>
        <w:jc w:val="center"/>
        <w:rPr>
          <w:b/>
        </w:rPr>
      </w:pPr>
      <w:r>
        <w:rPr>
          <w:b/>
        </w:rPr>
        <w:t>(Pesos)</w:t>
      </w:r>
    </w:p>
    <w:tbl>
      <w:tblPr>
        <w:tblW w:w="8826" w:type="dxa"/>
        <w:tblInd w:w="55" w:type="dxa"/>
        <w:tblCellMar>
          <w:left w:w="70" w:type="dxa"/>
          <w:right w:w="70" w:type="dxa"/>
        </w:tblCellMar>
        <w:tblLook w:val="04A0" w:firstRow="1" w:lastRow="0" w:firstColumn="1" w:lastColumn="0" w:noHBand="0" w:noVBand="1"/>
      </w:tblPr>
      <w:tblGrid>
        <w:gridCol w:w="3734"/>
        <w:gridCol w:w="2570"/>
        <w:gridCol w:w="2522"/>
      </w:tblGrid>
      <w:tr w:rsidR="006462B6" w:rsidRPr="006462B6" w:rsidTr="006462B6">
        <w:trPr>
          <w:trHeight w:val="337"/>
        </w:trPr>
        <w:tc>
          <w:tcPr>
            <w:tcW w:w="3734"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570"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22"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321"/>
        </w:trPr>
        <w:tc>
          <w:tcPr>
            <w:tcW w:w="3734"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570"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2,360,747,575</w:t>
            </w:r>
          </w:p>
        </w:tc>
        <w:tc>
          <w:tcPr>
            <w:tcW w:w="2522"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2,570,324,558</w:t>
            </w:r>
          </w:p>
        </w:tc>
      </w:tr>
      <w:tr w:rsidR="006462B6" w:rsidRPr="006462B6" w:rsidTr="006462B6">
        <w:trPr>
          <w:trHeight w:val="321"/>
        </w:trPr>
        <w:tc>
          <w:tcPr>
            <w:tcW w:w="3734"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570"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73,077,043</w:t>
            </w:r>
          </w:p>
        </w:tc>
        <w:tc>
          <w:tcPr>
            <w:tcW w:w="2522"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67,567,525</w:t>
            </w:r>
          </w:p>
        </w:tc>
      </w:tr>
      <w:tr w:rsidR="006462B6" w:rsidRPr="006462B6" w:rsidTr="006462B6">
        <w:trPr>
          <w:trHeight w:val="321"/>
        </w:trPr>
        <w:tc>
          <w:tcPr>
            <w:tcW w:w="3734"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570"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172,524,413</w:t>
            </w:r>
          </w:p>
        </w:tc>
        <w:tc>
          <w:tcPr>
            <w:tcW w:w="2522"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154,064,020</w:t>
            </w:r>
          </w:p>
        </w:tc>
      </w:tr>
      <w:tr w:rsidR="006462B6" w:rsidRPr="006462B6" w:rsidTr="006462B6">
        <w:trPr>
          <w:trHeight w:val="337"/>
        </w:trPr>
        <w:tc>
          <w:tcPr>
            <w:tcW w:w="3734"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570" w:type="dxa"/>
            <w:tcBorders>
              <w:top w:val="nil"/>
              <w:left w:val="nil"/>
              <w:bottom w:val="single" w:sz="8" w:space="0" w:color="auto"/>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432,514,551</w:t>
            </w:r>
          </w:p>
        </w:tc>
        <w:tc>
          <w:tcPr>
            <w:tcW w:w="2522" w:type="dxa"/>
            <w:tcBorders>
              <w:top w:val="nil"/>
              <w:left w:val="nil"/>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417,839,950</w:t>
            </w:r>
          </w:p>
        </w:tc>
      </w:tr>
      <w:tr w:rsidR="006462B6" w:rsidRPr="006462B6" w:rsidTr="006462B6">
        <w:trPr>
          <w:trHeight w:val="353"/>
        </w:trPr>
        <w:tc>
          <w:tcPr>
            <w:tcW w:w="3734"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570"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3,038,863,582</w:t>
            </w:r>
          </w:p>
        </w:tc>
        <w:tc>
          <w:tcPr>
            <w:tcW w:w="2522"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3,209,796,054</w:t>
            </w:r>
          </w:p>
        </w:tc>
      </w:tr>
    </w:tbl>
    <w:p w:rsidR="00AF7634" w:rsidRDefault="00AF7634">
      <w:pPr>
        <w:pBdr>
          <w:top w:val="nil"/>
          <w:left w:val="nil"/>
          <w:bottom w:val="nil"/>
          <w:right w:val="nil"/>
          <w:between w:val="nil"/>
        </w:pBdr>
        <w:jc w:val="center"/>
        <w:rPr>
          <w:b/>
        </w:rPr>
      </w:pPr>
    </w:p>
    <w:p w:rsidR="00AF7634" w:rsidRDefault="00AF7634">
      <w:pPr>
        <w:jc w:val="both"/>
        <w:rPr>
          <w:b/>
        </w:rPr>
      </w:pPr>
    </w:p>
    <w:p w:rsidR="00AF7634" w:rsidRDefault="0079353E">
      <w:pPr>
        <w:jc w:val="both"/>
      </w:pPr>
      <w:r>
        <w:rPr>
          <w:b/>
        </w:rPr>
        <w:t>Nota 7.- Activos Intangibles.</w:t>
      </w:r>
    </w:p>
    <w:p w:rsidR="00AF7634" w:rsidRDefault="00AF7634">
      <w:pPr>
        <w:jc w:val="both"/>
      </w:pPr>
    </w:p>
    <w:p w:rsidR="00AF7634" w:rsidRDefault="00AF7634">
      <w:pPr>
        <w:jc w:val="both"/>
      </w:pPr>
    </w:p>
    <w:p w:rsidR="00AF7634" w:rsidRDefault="0079353E">
      <w:pPr>
        <w:jc w:val="both"/>
      </w:pPr>
      <w:r>
        <w:t>Representan dentro del activo el valor de todos los bienes intangibles que posee el Gobierno del Estado necesarios para llevar a cabo funciones de los diferentes entes públicos que lo conforman.</w:t>
      </w:r>
    </w:p>
    <w:p w:rsidR="00AF7634" w:rsidRDefault="00AF7634">
      <w:pPr>
        <w:jc w:val="both"/>
      </w:pPr>
    </w:p>
    <w:p w:rsidR="00AF7634" w:rsidRDefault="0079353E">
      <w:pPr>
        <w:jc w:val="both"/>
      </w:pPr>
      <w:r>
        <w:t xml:space="preserve">El saldo </w:t>
      </w:r>
      <w:r w:rsidR="00536E2E">
        <w:t>al 30 de junio de 2022</w:t>
      </w:r>
      <w:r>
        <w:t>, comparado con el mismo periodo del 2021, se encuentra integrado de la siguiente manera:</w:t>
      </w:r>
    </w:p>
    <w:p w:rsidR="00AF7634" w:rsidRDefault="00AF7634">
      <w:pPr>
        <w:jc w:val="both"/>
      </w:pPr>
    </w:p>
    <w:p w:rsidR="00AF7634" w:rsidRDefault="00AF7634">
      <w:pPr>
        <w:jc w:val="both"/>
      </w:pPr>
    </w:p>
    <w:p w:rsidR="00AF7634" w:rsidRDefault="0079353E">
      <w:pPr>
        <w:pBdr>
          <w:top w:val="nil"/>
          <w:left w:val="nil"/>
          <w:bottom w:val="nil"/>
          <w:right w:val="nil"/>
          <w:between w:val="nil"/>
        </w:pBdr>
        <w:jc w:val="center"/>
      </w:pPr>
      <w:r>
        <w:rPr>
          <w:b/>
        </w:rPr>
        <w:t>(Pesos)</w:t>
      </w:r>
    </w:p>
    <w:tbl>
      <w:tblPr>
        <w:tblW w:w="8795" w:type="dxa"/>
        <w:tblInd w:w="55" w:type="dxa"/>
        <w:tblCellMar>
          <w:left w:w="70" w:type="dxa"/>
          <w:right w:w="70" w:type="dxa"/>
        </w:tblCellMar>
        <w:tblLook w:val="04A0" w:firstRow="1" w:lastRow="0" w:firstColumn="1" w:lastColumn="0" w:noHBand="0" w:noVBand="1"/>
      </w:tblPr>
      <w:tblGrid>
        <w:gridCol w:w="3721"/>
        <w:gridCol w:w="2561"/>
        <w:gridCol w:w="2513"/>
      </w:tblGrid>
      <w:tr w:rsidR="006462B6" w:rsidRPr="006462B6" w:rsidTr="006462B6">
        <w:trPr>
          <w:trHeight w:val="310"/>
        </w:trPr>
        <w:tc>
          <w:tcPr>
            <w:tcW w:w="3721"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561"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13"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295"/>
        </w:trPr>
        <w:tc>
          <w:tcPr>
            <w:tcW w:w="3721"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561"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160,781,164</w:t>
            </w:r>
          </w:p>
        </w:tc>
        <w:tc>
          <w:tcPr>
            <w:tcW w:w="2513"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161,641,345</w:t>
            </w:r>
          </w:p>
        </w:tc>
      </w:tr>
      <w:tr w:rsidR="006462B6" w:rsidRPr="006462B6" w:rsidTr="006462B6">
        <w:trPr>
          <w:trHeight w:val="295"/>
        </w:trPr>
        <w:tc>
          <w:tcPr>
            <w:tcW w:w="3721"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561"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1,494,581</w:t>
            </w:r>
          </w:p>
        </w:tc>
        <w:tc>
          <w:tcPr>
            <w:tcW w:w="2513"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1,145,789</w:t>
            </w:r>
          </w:p>
        </w:tc>
      </w:tr>
      <w:tr w:rsidR="006462B6" w:rsidRPr="006462B6" w:rsidTr="006462B6">
        <w:trPr>
          <w:trHeight w:val="295"/>
        </w:trPr>
        <w:tc>
          <w:tcPr>
            <w:tcW w:w="3721"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561"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1,517,751</w:t>
            </w:r>
          </w:p>
        </w:tc>
        <w:tc>
          <w:tcPr>
            <w:tcW w:w="2513"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1,468,947</w:t>
            </w:r>
          </w:p>
        </w:tc>
      </w:tr>
      <w:tr w:rsidR="006462B6" w:rsidRPr="006462B6" w:rsidTr="006462B6">
        <w:trPr>
          <w:trHeight w:val="310"/>
        </w:trPr>
        <w:tc>
          <w:tcPr>
            <w:tcW w:w="3721"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561" w:type="dxa"/>
            <w:tcBorders>
              <w:top w:val="nil"/>
              <w:left w:val="nil"/>
              <w:bottom w:val="single" w:sz="8" w:space="0" w:color="auto"/>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46,932,142</w:t>
            </w:r>
          </w:p>
        </w:tc>
        <w:tc>
          <w:tcPr>
            <w:tcW w:w="2513" w:type="dxa"/>
            <w:tcBorders>
              <w:top w:val="nil"/>
              <w:left w:val="nil"/>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45,756,142</w:t>
            </w:r>
          </w:p>
        </w:tc>
      </w:tr>
      <w:tr w:rsidR="006462B6" w:rsidRPr="006462B6" w:rsidTr="006462B6">
        <w:trPr>
          <w:trHeight w:val="325"/>
        </w:trPr>
        <w:tc>
          <w:tcPr>
            <w:tcW w:w="3721"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561"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210,725,637</w:t>
            </w:r>
          </w:p>
        </w:tc>
        <w:tc>
          <w:tcPr>
            <w:tcW w:w="2513" w:type="dxa"/>
            <w:tcBorders>
              <w:top w:val="nil"/>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210,012,223</w:t>
            </w:r>
          </w:p>
        </w:tc>
      </w:tr>
    </w:tbl>
    <w:p w:rsidR="00AF7634" w:rsidRDefault="00AF7634">
      <w:pPr>
        <w:pBdr>
          <w:top w:val="nil"/>
          <w:left w:val="nil"/>
          <w:bottom w:val="nil"/>
          <w:right w:val="nil"/>
          <w:between w:val="nil"/>
        </w:pBdr>
      </w:pPr>
    </w:p>
    <w:p w:rsidR="00AF7634" w:rsidRDefault="00AF7634">
      <w:pPr>
        <w:pBdr>
          <w:top w:val="nil"/>
          <w:left w:val="nil"/>
          <w:bottom w:val="nil"/>
          <w:right w:val="nil"/>
          <w:between w:val="nil"/>
        </w:pBdr>
      </w:pPr>
    </w:p>
    <w:p w:rsidR="00AF7634" w:rsidRDefault="00AF7634">
      <w:pPr>
        <w:pBdr>
          <w:top w:val="nil"/>
          <w:left w:val="nil"/>
          <w:bottom w:val="nil"/>
          <w:right w:val="nil"/>
          <w:between w:val="nil"/>
        </w:pBdr>
      </w:pPr>
    </w:p>
    <w:p w:rsidR="00AF7634" w:rsidRDefault="0079353E">
      <w:pPr>
        <w:jc w:val="both"/>
        <w:rPr>
          <w:b/>
        </w:rPr>
      </w:pPr>
      <w:r>
        <w:rPr>
          <w:b/>
        </w:rPr>
        <w:t>PASIVO</w:t>
      </w:r>
    </w:p>
    <w:p w:rsidR="00AF7634" w:rsidRDefault="00AF7634">
      <w:pPr>
        <w:jc w:val="both"/>
      </w:pPr>
    </w:p>
    <w:p w:rsidR="00AF7634" w:rsidRDefault="00AF7634">
      <w:pPr>
        <w:jc w:val="both"/>
      </w:pPr>
    </w:p>
    <w:p w:rsidR="00AF7634" w:rsidRDefault="0079353E">
      <w:pPr>
        <w:jc w:val="both"/>
      </w:pPr>
      <w:r>
        <w:t xml:space="preserve">Es el conjunto de cuentas que permiten el registro de las obligaciones contraídas por el Gobierno Estatal, para el desarrollo de sus funciones y la prestación de los servicios públicos, </w:t>
      </w:r>
      <w:r w:rsidR="00536E2E">
        <w:t>al 30 de junio de 2022</w:t>
      </w:r>
      <w: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rsidR="00AF7634" w:rsidRDefault="00AF7634"/>
    <w:p w:rsidR="000B6AA3" w:rsidRDefault="000B6AA3"/>
    <w:p w:rsidR="00AF7634" w:rsidRDefault="0079353E">
      <w:r>
        <w:rPr>
          <w:b/>
          <w:u w:val="single"/>
        </w:rPr>
        <w:t>Pasivo Circulante</w:t>
      </w:r>
    </w:p>
    <w:p w:rsidR="00AF7634" w:rsidRDefault="00AF7634">
      <w:pPr>
        <w:jc w:val="both"/>
      </w:pPr>
    </w:p>
    <w:p w:rsidR="00AF7634" w:rsidRDefault="00AF7634">
      <w:pPr>
        <w:jc w:val="both"/>
      </w:pPr>
    </w:p>
    <w:p w:rsidR="00AF7634" w:rsidRDefault="0079353E">
      <w:pPr>
        <w:jc w:val="both"/>
      </w:pPr>
      <w:r>
        <w:rPr>
          <w:b/>
        </w:rPr>
        <w:t>Nota 8.- Cuentas por Pagar a Corto Plazo.</w:t>
      </w:r>
    </w:p>
    <w:p w:rsidR="00AF7634" w:rsidRDefault="00AF7634">
      <w:pPr>
        <w:jc w:val="both"/>
      </w:pPr>
    </w:p>
    <w:p w:rsidR="00AF7634" w:rsidRDefault="00AF7634">
      <w:pPr>
        <w:jc w:val="both"/>
      </w:pPr>
    </w:p>
    <w:p w:rsidR="00AF7634" w:rsidRDefault="0079353E">
      <w:pPr>
        <w:jc w:val="both"/>
      </w:pPr>
      <w:r>
        <w:t xml:space="preserve">Este rubro refleja el registro de los adeudos contraídos por el Estado, que deberá pagar en un plazo menor o igual a doce meses, el saldo </w:t>
      </w:r>
      <w:r w:rsidR="00536E2E">
        <w:t>al 30 de junio de 2022</w:t>
      </w:r>
      <w:r>
        <w:t xml:space="preserve"> comparado con el mismo periodo del 2021, se integra de:</w:t>
      </w:r>
    </w:p>
    <w:p w:rsidR="00AF7634" w:rsidRDefault="00AF7634">
      <w:pPr>
        <w:jc w:val="both"/>
      </w:pPr>
    </w:p>
    <w:p w:rsidR="00AF7634" w:rsidRDefault="0079353E">
      <w:pPr>
        <w:pBdr>
          <w:top w:val="nil"/>
          <w:left w:val="nil"/>
          <w:bottom w:val="nil"/>
          <w:right w:val="nil"/>
          <w:between w:val="nil"/>
        </w:pBdr>
        <w:jc w:val="center"/>
        <w:rPr>
          <w:b/>
        </w:rPr>
      </w:pPr>
      <w:r>
        <w:rPr>
          <w:b/>
        </w:rPr>
        <w:t>(Pesos)</w:t>
      </w:r>
    </w:p>
    <w:tbl>
      <w:tblPr>
        <w:tblW w:w="9006" w:type="dxa"/>
        <w:tblInd w:w="55" w:type="dxa"/>
        <w:tblCellMar>
          <w:left w:w="70" w:type="dxa"/>
          <w:right w:w="70" w:type="dxa"/>
        </w:tblCellMar>
        <w:tblLook w:val="04A0" w:firstRow="1" w:lastRow="0" w:firstColumn="1" w:lastColumn="0" w:noHBand="0" w:noVBand="1"/>
      </w:tblPr>
      <w:tblGrid>
        <w:gridCol w:w="3810"/>
        <w:gridCol w:w="2623"/>
        <w:gridCol w:w="2573"/>
      </w:tblGrid>
      <w:tr w:rsidR="00D732D2" w:rsidRPr="00D732D2" w:rsidTr="00D732D2">
        <w:trPr>
          <w:trHeight w:val="298"/>
        </w:trPr>
        <w:tc>
          <w:tcPr>
            <w:tcW w:w="3810" w:type="dxa"/>
            <w:tcBorders>
              <w:top w:val="single" w:sz="8" w:space="0" w:color="auto"/>
              <w:left w:val="single" w:sz="8" w:space="0" w:color="auto"/>
              <w:bottom w:val="nil"/>
              <w:right w:val="single" w:sz="8" w:space="0" w:color="auto"/>
            </w:tcBorders>
            <w:shd w:val="clear" w:color="000000" w:fill="828282"/>
            <w:noWrap/>
            <w:vAlign w:val="center"/>
            <w:hideMark/>
          </w:tcPr>
          <w:p w:rsidR="00D732D2" w:rsidRPr="00D732D2" w:rsidRDefault="00D732D2" w:rsidP="00D732D2">
            <w:pPr>
              <w:jc w:val="center"/>
              <w:rPr>
                <w:rFonts w:eastAsia="Times New Roman" w:cs="Calibri"/>
                <w:b/>
                <w:bCs/>
                <w:color w:val="FFFFFF"/>
                <w:lang w:val="es-MX"/>
              </w:rPr>
            </w:pPr>
            <w:r w:rsidRPr="00D732D2">
              <w:rPr>
                <w:rFonts w:eastAsia="Times New Roman" w:cs="Calibri"/>
                <w:b/>
                <w:bCs/>
                <w:color w:val="FFFFFF"/>
                <w:lang w:val="es-MX"/>
              </w:rPr>
              <w:t>Concepto</w:t>
            </w:r>
          </w:p>
        </w:tc>
        <w:tc>
          <w:tcPr>
            <w:tcW w:w="2623" w:type="dxa"/>
            <w:tcBorders>
              <w:top w:val="single" w:sz="8" w:space="0" w:color="auto"/>
              <w:left w:val="nil"/>
              <w:bottom w:val="nil"/>
              <w:right w:val="nil"/>
            </w:tcBorders>
            <w:shd w:val="clear" w:color="000000" w:fill="828282"/>
            <w:noWrap/>
            <w:vAlign w:val="center"/>
            <w:hideMark/>
          </w:tcPr>
          <w:p w:rsidR="00D732D2" w:rsidRPr="00D732D2" w:rsidRDefault="00D732D2" w:rsidP="00D732D2">
            <w:pPr>
              <w:jc w:val="center"/>
              <w:rPr>
                <w:rFonts w:eastAsia="Times New Roman" w:cs="Calibri"/>
                <w:b/>
                <w:bCs/>
                <w:color w:val="FFFFFF"/>
                <w:lang w:val="es-MX"/>
              </w:rPr>
            </w:pPr>
            <w:r w:rsidRPr="00D732D2">
              <w:rPr>
                <w:rFonts w:eastAsia="Times New Roman" w:cs="Calibri"/>
                <w:b/>
                <w:bCs/>
                <w:color w:val="FFFFFF"/>
                <w:lang w:val="es-MX"/>
              </w:rPr>
              <w:t>2022</w:t>
            </w:r>
          </w:p>
        </w:tc>
        <w:tc>
          <w:tcPr>
            <w:tcW w:w="2573" w:type="dxa"/>
            <w:tcBorders>
              <w:top w:val="single" w:sz="8" w:space="0" w:color="auto"/>
              <w:left w:val="nil"/>
              <w:bottom w:val="nil"/>
              <w:right w:val="single" w:sz="8" w:space="0" w:color="auto"/>
            </w:tcBorders>
            <w:shd w:val="clear" w:color="000000" w:fill="828282"/>
            <w:noWrap/>
            <w:vAlign w:val="center"/>
            <w:hideMark/>
          </w:tcPr>
          <w:p w:rsidR="00D732D2" w:rsidRPr="00D732D2" w:rsidRDefault="00D732D2" w:rsidP="00D732D2">
            <w:pPr>
              <w:jc w:val="center"/>
              <w:rPr>
                <w:rFonts w:eastAsia="Times New Roman" w:cs="Calibri"/>
                <w:b/>
                <w:bCs/>
                <w:color w:val="FFFFFF"/>
                <w:lang w:val="es-MX"/>
              </w:rPr>
            </w:pPr>
            <w:r w:rsidRPr="00D732D2">
              <w:rPr>
                <w:rFonts w:eastAsia="Times New Roman" w:cs="Calibri"/>
                <w:b/>
                <w:bCs/>
                <w:color w:val="FFFFFF"/>
                <w:lang w:val="es-MX"/>
              </w:rPr>
              <w:t>2021</w:t>
            </w:r>
          </w:p>
        </w:tc>
      </w:tr>
      <w:tr w:rsidR="00D732D2" w:rsidRPr="00D732D2" w:rsidTr="00D732D2">
        <w:trPr>
          <w:trHeight w:val="298"/>
        </w:trPr>
        <w:tc>
          <w:tcPr>
            <w:tcW w:w="3810"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PODER EJECUTIVO</w:t>
            </w:r>
          </w:p>
        </w:tc>
        <w:tc>
          <w:tcPr>
            <w:tcW w:w="2623" w:type="dxa"/>
            <w:tcBorders>
              <w:top w:val="nil"/>
              <w:left w:val="nil"/>
              <w:bottom w:val="nil"/>
              <w:right w:val="nil"/>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5,530,175,346</w:t>
            </w:r>
          </w:p>
        </w:tc>
        <w:tc>
          <w:tcPr>
            <w:tcW w:w="2573" w:type="dxa"/>
            <w:tcBorders>
              <w:top w:val="nil"/>
              <w:left w:val="nil"/>
              <w:bottom w:val="nil"/>
              <w:right w:val="single" w:sz="8" w:space="0" w:color="auto"/>
            </w:tcBorders>
            <w:shd w:val="clear" w:color="000000" w:fill="FFFFFF"/>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7,101,253,201</w:t>
            </w:r>
          </w:p>
        </w:tc>
      </w:tr>
      <w:tr w:rsidR="00D732D2" w:rsidRPr="00D732D2" w:rsidTr="00D732D2">
        <w:trPr>
          <w:trHeight w:val="298"/>
        </w:trPr>
        <w:tc>
          <w:tcPr>
            <w:tcW w:w="3810"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 xml:space="preserve">PODER LEGISLATIVO </w:t>
            </w:r>
          </w:p>
        </w:tc>
        <w:tc>
          <w:tcPr>
            <w:tcW w:w="2623" w:type="dxa"/>
            <w:tcBorders>
              <w:top w:val="nil"/>
              <w:left w:val="nil"/>
              <w:bottom w:val="nil"/>
              <w:right w:val="nil"/>
            </w:tcBorders>
            <w:shd w:val="clear" w:color="000000" w:fill="FFFFFF"/>
            <w:noWrap/>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78,825,321</w:t>
            </w:r>
          </w:p>
        </w:tc>
        <w:tc>
          <w:tcPr>
            <w:tcW w:w="2573" w:type="dxa"/>
            <w:tcBorders>
              <w:top w:val="nil"/>
              <w:left w:val="nil"/>
              <w:bottom w:val="nil"/>
              <w:right w:val="single" w:sz="8" w:space="0" w:color="auto"/>
            </w:tcBorders>
            <w:shd w:val="clear" w:color="000000" w:fill="FFFFFF"/>
            <w:noWrap/>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76,327,688</w:t>
            </w:r>
          </w:p>
        </w:tc>
      </w:tr>
      <w:tr w:rsidR="00D732D2" w:rsidRPr="00D732D2" w:rsidTr="00D732D2">
        <w:trPr>
          <w:trHeight w:val="298"/>
        </w:trPr>
        <w:tc>
          <w:tcPr>
            <w:tcW w:w="3810"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PODER JUDICIAL</w:t>
            </w:r>
          </w:p>
        </w:tc>
        <w:tc>
          <w:tcPr>
            <w:tcW w:w="2623" w:type="dxa"/>
            <w:tcBorders>
              <w:top w:val="nil"/>
              <w:left w:val="nil"/>
              <w:bottom w:val="nil"/>
              <w:right w:val="nil"/>
            </w:tcBorders>
            <w:shd w:val="clear" w:color="000000" w:fill="FFFFFF"/>
            <w:noWrap/>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235,692,866</w:t>
            </w:r>
          </w:p>
        </w:tc>
        <w:tc>
          <w:tcPr>
            <w:tcW w:w="2573" w:type="dxa"/>
            <w:tcBorders>
              <w:top w:val="nil"/>
              <w:left w:val="nil"/>
              <w:bottom w:val="nil"/>
              <w:right w:val="single" w:sz="8" w:space="0" w:color="auto"/>
            </w:tcBorders>
            <w:shd w:val="clear" w:color="000000" w:fill="FFFFFF"/>
            <w:noWrap/>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238,570,153</w:t>
            </w:r>
          </w:p>
        </w:tc>
      </w:tr>
      <w:tr w:rsidR="00D732D2" w:rsidRPr="00D732D2" w:rsidTr="00D732D2">
        <w:trPr>
          <w:trHeight w:val="313"/>
        </w:trPr>
        <w:tc>
          <w:tcPr>
            <w:tcW w:w="3810" w:type="dxa"/>
            <w:tcBorders>
              <w:top w:val="nil"/>
              <w:left w:val="single" w:sz="8" w:space="0" w:color="auto"/>
              <w:bottom w:val="nil"/>
              <w:right w:val="single" w:sz="8" w:space="0" w:color="auto"/>
            </w:tcBorders>
            <w:shd w:val="clear" w:color="000000" w:fill="FFFFFF"/>
            <w:noWrap/>
            <w:vAlign w:val="center"/>
            <w:hideMark/>
          </w:tcPr>
          <w:p w:rsidR="00D732D2" w:rsidRPr="00D732D2" w:rsidRDefault="00D732D2" w:rsidP="00D732D2">
            <w:pPr>
              <w:rPr>
                <w:rFonts w:eastAsia="Times New Roman" w:cs="Calibri"/>
                <w:color w:val="000000"/>
                <w:lang w:val="es-MX"/>
              </w:rPr>
            </w:pPr>
            <w:r w:rsidRPr="00D732D2">
              <w:rPr>
                <w:rFonts w:eastAsia="Times New Roman" w:cs="Calibri"/>
                <w:color w:val="000000"/>
                <w:lang w:val="es-MX"/>
              </w:rPr>
              <w:t>ÓRGANOS AUTÓNOMOS</w:t>
            </w:r>
          </w:p>
        </w:tc>
        <w:tc>
          <w:tcPr>
            <w:tcW w:w="2623" w:type="dxa"/>
            <w:tcBorders>
              <w:top w:val="nil"/>
              <w:left w:val="nil"/>
              <w:bottom w:val="single" w:sz="8" w:space="0" w:color="auto"/>
              <w:right w:val="nil"/>
            </w:tcBorders>
            <w:shd w:val="clear" w:color="000000" w:fill="FFFFFF"/>
            <w:noWrap/>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299,004,924</w:t>
            </w:r>
          </w:p>
        </w:tc>
        <w:tc>
          <w:tcPr>
            <w:tcW w:w="2573" w:type="dxa"/>
            <w:tcBorders>
              <w:top w:val="nil"/>
              <w:left w:val="nil"/>
              <w:bottom w:val="single" w:sz="8" w:space="0" w:color="auto"/>
              <w:right w:val="single" w:sz="8" w:space="0" w:color="auto"/>
            </w:tcBorders>
            <w:shd w:val="clear" w:color="000000" w:fill="FFFFFF"/>
            <w:noWrap/>
            <w:vAlign w:val="center"/>
            <w:hideMark/>
          </w:tcPr>
          <w:p w:rsidR="00D732D2" w:rsidRPr="00D732D2" w:rsidRDefault="00D732D2" w:rsidP="00D732D2">
            <w:pPr>
              <w:jc w:val="right"/>
              <w:rPr>
                <w:rFonts w:eastAsia="Times New Roman" w:cs="Calibri"/>
                <w:color w:val="000000"/>
                <w:lang w:val="es-MX"/>
              </w:rPr>
            </w:pPr>
            <w:r w:rsidRPr="00D732D2">
              <w:rPr>
                <w:rFonts w:eastAsia="Times New Roman" w:cs="Calibri"/>
                <w:color w:val="000000"/>
                <w:lang w:val="es-MX"/>
              </w:rPr>
              <w:t>268,438,854</w:t>
            </w:r>
          </w:p>
        </w:tc>
      </w:tr>
      <w:tr w:rsidR="00D732D2" w:rsidRPr="00D732D2" w:rsidTr="00D732D2">
        <w:trPr>
          <w:trHeight w:val="313"/>
        </w:trPr>
        <w:tc>
          <w:tcPr>
            <w:tcW w:w="3810" w:type="dxa"/>
            <w:tcBorders>
              <w:top w:val="nil"/>
              <w:left w:val="single" w:sz="8" w:space="0" w:color="auto"/>
              <w:bottom w:val="single" w:sz="8" w:space="0" w:color="auto"/>
              <w:right w:val="single" w:sz="8" w:space="0" w:color="auto"/>
            </w:tcBorders>
            <w:shd w:val="clear" w:color="000000" w:fill="FFFFFF"/>
            <w:noWrap/>
            <w:vAlign w:val="center"/>
            <w:hideMark/>
          </w:tcPr>
          <w:p w:rsidR="00D732D2" w:rsidRPr="00D732D2" w:rsidRDefault="00D732D2" w:rsidP="00D732D2">
            <w:pPr>
              <w:jc w:val="right"/>
              <w:rPr>
                <w:rFonts w:eastAsia="Times New Roman" w:cs="Calibri"/>
                <w:b/>
                <w:bCs/>
                <w:color w:val="000000"/>
                <w:lang w:val="es-MX"/>
              </w:rPr>
            </w:pPr>
            <w:r w:rsidRPr="00D732D2">
              <w:rPr>
                <w:rFonts w:eastAsia="Times New Roman" w:cs="Calibri"/>
                <w:b/>
                <w:bCs/>
                <w:color w:val="000000"/>
                <w:lang w:val="es-MX"/>
              </w:rPr>
              <w:t>Suma</w:t>
            </w:r>
          </w:p>
        </w:tc>
        <w:tc>
          <w:tcPr>
            <w:tcW w:w="2623" w:type="dxa"/>
            <w:tcBorders>
              <w:top w:val="nil"/>
              <w:left w:val="nil"/>
              <w:bottom w:val="double" w:sz="6" w:space="0" w:color="auto"/>
              <w:right w:val="nil"/>
            </w:tcBorders>
            <w:shd w:val="clear" w:color="000000" w:fill="FFFFFF"/>
            <w:noWrap/>
            <w:vAlign w:val="center"/>
            <w:hideMark/>
          </w:tcPr>
          <w:p w:rsidR="00D732D2" w:rsidRPr="00D732D2" w:rsidRDefault="00D732D2" w:rsidP="00D732D2">
            <w:pPr>
              <w:jc w:val="right"/>
              <w:rPr>
                <w:rFonts w:eastAsia="Times New Roman" w:cs="Calibri"/>
                <w:b/>
                <w:bCs/>
                <w:color w:val="000000"/>
                <w:lang w:val="es-MX"/>
              </w:rPr>
            </w:pPr>
            <w:r w:rsidRPr="00D732D2">
              <w:rPr>
                <w:rFonts w:eastAsia="Times New Roman" w:cs="Calibri"/>
                <w:b/>
                <w:bCs/>
                <w:color w:val="000000"/>
                <w:lang w:val="es-MX"/>
              </w:rPr>
              <w:t>6,143,698,458</w:t>
            </w:r>
          </w:p>
        </w:tc>
        <w:tc>
          <w:tcPr>
            <w:tcW w:w="2573" w:type="dxa"/>
            <w:tcBorders>
              <w:top w:val="nil"/>
              <w:left w:val="nil"/>
              <w:bottom w:val="double" w:sz="6" w:space="0" w:color="auto"/>
              <w:right w:val="nil"/>
            </w:tcBorders>
            <w:shd w:val="clear" w:color="000000" w:fill="FFFFFF"/>
            <w:noWrap/>
            <w:vAlign w:val="center"/>
            <w:hideMark/>
          </w:tcPr>
          <w:p w:rsidR="00D732D2" w:rsidRPr="00D732D2" w:rsidRDefault="00D732D2" w:rsidP="00D732D2">
            <w:pPr>
              <w:jc w:val="right"/>
              <w:rPr>
                <w:rFonts w:eastAsia="Times New Roman" w:cs="Calibri"/>
                <w:b/>
                <w:bCs/>
                <w:color w:val="000000"/>
                <w:lang w:val="es-MX"/>
              </w:rPr>
            </w:pPr>
            <w:r w:rsidRPr="00D732D2">
              <w:rPr>
                <w:rFonts w:eastAsia="Times New Roman" w:cs="Calibri"/>
                <w:b/>
                <w:bCs/>
                <w:color w:val="000000"/>
                <w:lang w:val="es-MX"/>
              </w:rPr>
              <w:t>7,684,589,897</w:t>
            </w:r>
          </w:p>
        </w:tc>
      </w:tr>
    </w:tbl>
    <w:p w:rsidR="00AF7634" w:rsidRDefault="00AF7634">
      <w:pPr>
        <w:pBdr>
          <w:top w:val="nil"/>
          <w:left w:val="nil"/>
          <w:bottom w:val="nil"/>
          <w:right w:val="nil"/>
          <w:between w:val="nil"/>
        </w:pBdr>
      </w:pPr>
    </w:p>
    <w:p w:rsidR="00AF7634" w:rsidRDefault="00AF7634">
      <w:pPr>
        <w:pBdr>
          <w:top w:val="nil"/>
          <w:left w:val="nil"/>
          <w:bottom w:val="nil"/>
          <w:right w:val="nil"/>
          <w:between w:val="nil"/>
        </w:pBdr>
      </w:pPr>
    </w:p>
    <w:p w:rsidR="00AF7634" w:rsidRDefault="00AF7634">
      <w:pPr>
        <w:pBdr>
          <w:top w:val="nil"/>
          <w:left w:val="nil"/>
          <w:bottom w:val="nil"/>
          <w:right w:val="nil"/>
          <w:between w:val="nil"/>
        </w:pBdr>
        <w:rPr>
          <w:b/>
        </w:rPr>
      </w:pPr>
    </w:p>
    <w:p w:rsidR="00AF7634" w:rsidRDefault="00620F3A">
      <w:pPr>
        <w:jc w:val="both"/>
        <w:rPr>
          <w:b/>
        </w:rPr>
      </w:pPr>
      <w:r>
        <w:rPr>
          <w:b/>
        </w:rPr>
        <w:t>Nota 9</w:t>
      </w:r>
      <w:r w:rsidR="0079353E">
        <w:rPr>
          <w:b/>
        </w:rPr>
        <w:t>.- Porción a Corto Plazo de la Deuda Pública a Largo Plazo.</w:t>
      </w:r>
    </w:p>
    <w:p w:rsidR="00AF7634" w:rsidRDefault="00AF7634">
      <w:pPr>
        <w:jc w:val="both"/>
        <w:rPr>
          <w:b/>
        </w:rPr>
      </w:pPr>
    </w:p>
    <w:p w:rsidR="00AF7634" w:rsidRDefault="00AF7634">
      <w:pPr>
        <w:jc w:val="both"/>
        <w:rPr>
          <w:b/>
        </w:rPr>
      </w:pPr>
    </w:p>
    <w:p w:rsidR="00AF7634" w:rsidRDefault="0079353E">
      <w:pPr>
        <w:jc w:val="both"/>
      </w:pPr>
      <w:r>
        <w:t xml:space="preserve">La provisión, representa el monto de los adeudos por amortización de la deuda pública contraída por el ente público que deberá pagar en un plazo menor o igual a doce meses y corresponde al Poder Ejecutivo, el saldo provisionado </w:t>
      </w:r>
      <w:r w:rsidR="00536E2E">
        <w:t>al 30 de junio de 2022</w:t>
      </w:r>
      <w:r>
        <w:t xml:space="preserve"> comparado con el mismo periodo del 2021, es el siguiente:</w:t>
      </w:r>
    </w:p>
    <w:p w:rsidR="00AF7634" w:rsidRDefault="00AF7634">
      <w:pPr>
        <w:jc w:val="both"/>
      </w:pPr>
    </w:p>
    <w:p w:rsidR="000B6AA3" w:rsidRDefault="000B6AA3">
      <w:pPr>
        <w:jc w:val="both"/>
      </w:pPr>
    </w:p>
    <w:p w:rsidR="00AF7634" w:rsidRDefault="0079353E">
      <w:pPr>
        <w:pBdr>
          <w:top w:val="nil"/>
          <w:left w:val="nil"/>
          <w:bottom w:val="nil"/>
          <w:right w:val="nil"/>
          <w:between w:val="nil"/>
        </w:pBdr>
        <w:jc w:val="center"/>
        <w:rPr>
          <w:b/>
        </w:rPr>
      </w:pPr>
      <w:r>
        <w:rPr>
          <w:b/>
        </w:rPr>
        <w:lastRenderedPageBreak/>
        <w:t>(Pesos)</w:t>
      </w:r>
    </w:p>
    <w:tbl>
      <w:tblPr>
        <w:tblStyle w:val="a8"/>
        <w:tblW w:w="9100" w:type="dxa"/>
        <w:tblInd w:w="55" w:type="dxa"/>
        <w:tblLayout w:type="fixed"/>
        <w:tblLook w:val="0400" w:firstRow="0" w:lastRow="0" w:firstColumn="0" w:lastColumn="0" w:noHBand="0" w:noVBand="1"/>
      </w:tblPr>
      <w:tblGrid>
        <w:gridCol w:w="3840"/>
        <w:gridCol w:w="2380"/>
        <w:gridCol w:w="2880"/>
      </w:tblGrid>
      <w:tr w:rsidR="00AF7634">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2021</w:t>
            </w:r>
          </w:p>
        </w:tc>
      </w:tr>
      <w:tr w:rsidR="00AF7634">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rsidR="00AF7634" w:rsidRDefault="0079353E">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100,751,873</w:t>
            </w:r>
          </w:p>
        </w:tc>
        <w:tc>
          <w:tcPr>
            <w:tcW w:w="28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90,656,020</w:t>
            </w:r>
          </w:p>
        </w:tc>
      </w:tr>
      <w:tr w:rsidR="00AF7634">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79353E">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100,751,873</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90,656,020</w:t>
            </w:r>
          </w:p>
        </w:tc>
      </w:tr>
    </w:tbl>
    <w:p w:rsidR="00AF7634" w:rsidRDefault="00AF7634">
      <w:pPr>
        <w:jc w:val="both"/>
        <w:rPr>
          <w:b/>
        </w:rPr>
      </w:pPr>
    </w:p>
    <w:p w:rsidR="00AF7634" w:rsidRDefault="00AF7634">
      <w:pPr>
        <w:jc w:val="both"/>
        <w:rPr>
          <w:b/>
        </w:rPr>
      </w:pPr>
    </w:p>
    <w:p w:rsidR="00AF7634" w:rsidRDefault="00620F3A">
      <w:pPr>
        <w:jc w:val="both"/>
        <w:rPr>
          <w:b/>
        </w:rPr>
      </w:pPr>
      <w:r>
        <w:rPr>
          <w:b/>
        </w:rPr>
        <w:t>Nota 10</w:t>
      </w:r>
      <w:r w:rsidR="0079353E">
        <w:rPr>
          <w:b/>
        </w:rPr>
        <w:t>.- Otros Pasivos a Corto Plazo.</w:t>
      </w:r>
    </w:p>
    <w:p w:rsidR="00AF7634" w:rsidRDefault="00AF7634">
      <w:pPr>
        <w:jc w:val="both"/>
      </w:pPr>
    </w:p>
    <w:p w:rsidR="00AF7634" w:rsidRDefault="0079353E">
      <w:pPr>
        <w:jc w:val="both"/>
      </w:pPr>
      <w: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536E2E">
        <w:t>al 30 de junio de 2022</w:t>
      </w:r>
      <w:r>
        <w:t xml:space="preserve"> comparado con el periodo del 2021 de la siguiente forma:</w:t>
      </w:r>
    </w:p>
    <w:p w:rsidR="00AF7634" w:rsidRDefault="00AF7634">
      <w:pPr>
        <w:jc w:val="both"/>
      </w:pPr>
    </w:p>
    <w:p w:rsidR="00AF7634" w:rsidRDefault="00AF7634">
      <w:pPr>
        <w:jc w:val="both"/>
      </w:pPr>
    </w:p>
    <w:p w:rsidR="00AF7634" w:rsidRDefault="0079353E">
      <w:pPr>
        <w:jc w:val="center"/>
        <w:rPr>
          <w:b/>
        </w:rPr>
      </w:pPr>
      <w:r>
        <w:rPr>
          <w:b/>
        </w:rPr>
        <w:t>(Pesos)</w:t>
      </w:r>
    </w:p>
    <w:tbl>
      <w:tblPr>
        <w:tblStyle w:val="a9"/>
        <w:tblW w:w="9100" w:type="dxa"/>
        <w:tblInd w:w="55" w:type="dxa"/>
        <w:tblLayout w:type="fixed"/>
        <w:tblLook w:val="0400" w:firstRow="0" w:lastRow="0" w:firstColumn="0" w:lastColumn="0" w:noHBand="0" w:noVBand="1"/>
      </w:tblPr>
      <w:tblGrid>
        <w:gridCol w:w="3840"/>
        <w:gridCol w:w="2380"/>
        <w:gridCol w:w="2880"/>
      </w:tblGrid>
      <w:tr w:rsidR="00AF7634">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2021</w:t>
            </w:r>
          </w:p>
        </w:tc>
      </w:tr>
      <w:tr w:rsidR="00AF7634">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rsidR="00AF7634" w:rsidRDefault="0079353E">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546,208,836</w:t>
            </w:r>
          </w:p>
        </w:tc>
        <w:tc>
          <w:tcPr>
            <w:tcW w:w="28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836,838,207</w:t>
            </w:r>
          </w:p>
        </w:tc>
      </w:tr>
      <w:tr w:rsidR="00AF7634">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79353E">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546,208,836</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836,838,207</w:t>
            </w:r>
          </w:p>
        </w:tc>
      </w:tr>
    </w:tbl>
    <w:p w:rsidR="00AF7634" w:rsidRDefault="00AF7634">
      <w:pPr>
        <w:jc w:val="center"/>
        <w:rPr>
          <w:b/>
        </w:rPr>
      </w:pPr>
    </w:p>
    <w:p w:rsidR="00AF7634" w:rsidRDefault="00AF7634">
      <w:pPr>
        <w:rPr>
          <w:b/>
        </w:rPr>
      </w:pPr>
    </w:p>
    <w:p w:rsidR="00AF7634" w:rsidRDefault="0079353E">
      <w:pPr>
        <w:jc w:val="both"/>
      </w:pPr>
      <w:r>
        <w:rPr>
          <w:b/>
          <w:u w:val="single"/>
        </w:rPr>
        <w:t>Pasivo No Circulante</w:t>
      </w:r>
      <w:r>
        <w:t>.</w:t>
      </w:r>
    </w:p>
    <w:p w:rsidR="00AF7634" w:rsidRDefault="00AF7634">
      <w:pPr>
        <w:jc w:val="both"/>
      </w:pPr>
    </w:p>
    <w:p w:rsidR="00AF7634" w:rsidRDefault="00AF7634">
      <w:pPr>
        <w:jc w:val="both"/>
        <w:rPr>
          <w:b/>
        </w:rPr>
      </w:pPr>
    </w:p>
    <w:p w:rsidR="00AF7634" w:rsidRDefault="00620F3A">
      <w:pPr>
        <w:jc w:val="both"/>
      </w:pPr>
      <w:r>
        <w:rPr>
          <w:b/>
        </w:rPr>
        <w:t>Nota 11</w:t>
      </w:r>
      <w:r w:rsidR="0079353E">
        <w:rPr>
          <w:b/>
        </w:rPr>
        <w:t>.- Deuda Pública a Largo Plazo.</w:t>
      </w:r>
    </w:p>
    <w:p w:rsidR="00AF7634" w:rsidRDefault="00AF7634">
      <w:pPr>
        <w:jc w:val="both"/>
      </w:pPr>
    </w:p>
    <w:p w:rsidR="000B6AA3" w:rsidRDefault="000B6AA3">
      <w:pPr>
        <w:jc w:val="both"/>
      </w:pPr>
    </w:p>
    <w:p w:rsidR="00AF7634" w:rsidRDefault="0079353E">
      <w:pPr>
        <w:jc w:val="both"/>
      </w:pPr>
      <w:r>
        <w:t xml:space="preserve">Este rubro se integra del monto de las obligaciones directas o contingentes derivadas de financiamiento a cargo del Estado en términos de las disposiciones legales aplicables, corresponde al Poder Ejecutivo. El saldo </w:t>
      </w:r>
      <w:r w:rsidR="00536E2E">
        <w:t>al 30 de junio de 2022</w:t>
      </w:r>
      <w:r>
        <w:t xml:space="preserve"> en comparación e</w:t>
      </w:r>
      <w:r w:rsidR="00A7579D">
        <w:t>l periodo del 2021</w:t>
      </w:r>
      <w:r>
        <w:t>, es el siguiente:</w:t>
      </w:r>
    </w:p>
    <w:p w:rsidR="00AF7634" w:rsidRDefault="00AF7634"/>
    <w:p w:rsidR="00AF7634" w:rsidRDefault="0079353E">
      <w:pPr>
        <w:jc w:val="center"/>
        <w:rPr>
          <w:b/>
        </w:rPr>
      </w:pPr>
      <w:r>
        <w:rPr>
          <w:b/>
        </w:rPr>
        <w:t>(Pesos)</w:t>
      </w:r>
    </w:p>
    <w:tbl>
      <w:tblPr>
        <w:tblStyle w:val="ab"/>
        <w:tblW w:w="9100" w:type="dxa"/>
        <w:tblInd w:w="55" w:type="dxa"/>
        <w:tblLayout w:type="fixed"/>
        <w:tblLook w:val="0400" w:firstRow="0" w:lastRow="0" w:firstColumn="0" w:lastColumn="0" w:noHBand="0" w:noVBand="1"/>
      </w:tblPr>
      <w:tblGrid>
        <w:gridCol w:w="3840"/>
        <w:gridCol w:w="2380"/>
        <w:gridCol w:w="2880"/>
      </w:tblGrid>
      <w:tr w:rsidR="00AF7634">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2021</w:t>
            </w:r>
          </w:p>
        </w:tc>
      </w:tr>
      <w:tr w:rsidR="00AF7634">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rsidR="00AF7634" w:rsidRDefault="0079353E">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14,972,252,410</w:t>
            </w:r>
          </w:p>
        </w:tc>
        <w:tc>
          <w:tcPr>
            <w:tcW w:w="28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14,124,669,823</w:t>
            </w:r>
          </w:p>
        </w:tc>
      </w:tr>
      <w:tr w:rsidR="00AF7634">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79353E">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14,972,252,410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14,124,669,823</w:t>
            </w:r>
          </w:p>
        </w:tc>
      </w:tr>
    </w:tbl>
    <w:p w:rsidR="00AF7634" w:rsidRDefault="00AF7634">
      <w:pPr>
        <w:rPr>
          <w:b/>
        </w:rPr>
      </w:pPr>
    </w:p>
    <w:p w:rsidR="00AF7634" w:rsidRDefault="0079353E">
      <w:bookmarkStart w:id="1" w:name="_30j0zll" w:colFirst="0" w:colLast="0"/>
      <w:bookmarkEnd w:id="1"/>
      <w:r>
        <w:t xml:space="preserve">El importe total de la Deuda Pública deberá incluir la Porción a Corto Plazo descrita en la nota 10. </w:t>
      </w:r>
    </w:p>
    <w:p w:rsidR="000B6AA3" w:rsidRDefault="000B6AA3">
      <w:pPr>
        <w:rPr>
          <w:b/>
        </w:rPr>
      </w:pPr>
    </w:p>
    <w:p w:rsidR="000B6AA3" w:rsidRDefault="000B6AA3">
      <w:pPr>
        <w:rPr>
          <w:b/>
        </w:rPr>
      </w:pPr>
    </w:p>
    <w:p w:rsidR="00AF7634" w:rsidRDefault="00620F3A">
      <w:pPr>
        <w:rPr>
          <w:b/>
        </w:rPr>
      </w:pPr>
      <w:r>
        <w:rPr>
          <w:b/>
        </w:rPr>
        <w:t>Nota 12</w:t>
      </w:r>
      <w:r w:rsidR="0079353E">
        <w:rPr>
          <w:b/>
        </w:rPr>
        <w:t>. Fondos y Bienes de Terceros en Garantía y/o en Administración a Largo Plazo.</w:t>
      </w:r>
    </w:p>
    <w:p w:rsidR="00AF7634" w:rsidRDefault="00AF7634">
      <w:pPr>
        <w:jc w:val="both"/>
      </w:pPr>
    </w:p>
    <w:p w:rsidR="00AF7634" w:rsidRDefault="00AF7634">
      <w:pPr>
        <w:jc w:val="both"/>
      </w:pPr>
    </w:p>
    <w:p w:rsidR="00AF7634" w:rsidRDefault="0079353E">
      <w:pPr>
        <w:jc w:val="both"/>
      </w:pPr>
      <w:r>
        <w:t xml:space="preserve">La integración de este rubro representa el monto de los fondos y bienes propiedad de terceros, en garantía del cumplimiento de obligaciones contractuales o legales, en un plazo mayor a doce meses, </w:t>
      </w:r>
      <w:r w:rsidR="00536E2E">
        <w:t>al 30 de junio de 2022</w:t>
      </w:r>
      <w:r>
        <w:t xml:space="preserve"> en comparación con el periodo del 2021 que corresponde al Poder Ejecutivo y su saldo se integra de la siguiente manera:</w:t>
      </w:r>
    </w:p>
    <w:p w:rsidR="00AF7634" w:rsidRDefault="00AF7634">
      <w:pPr>
        <w:jc w:val="both"/>
      </w:pPr>
    </w:p>
    <w:p w:rsidR="00AF7634" w:rsidRDefault="00AF7634">
      <w:pPr>
        <w:jc w:val="both"/>
      </w:pPr>
    </w:p>
    <w:p w:rsidR="00AF7634" w:rsidRDefault="0079353E">
      <w:pPr>
        <w:jc w:val="center"/>
        <w:rPr>
          <w:b/>
        </w:rPr>
      </w:pPr>
      <w:r>
        <w:rPr>
          <w:b/>
        </w:rPr>
        <w:t>(Pesos)</w:t>
      </w:r>
    </w:p>
    <w:tbl>
      <w:tblPr>
        <w:tblStyle w:val="ac"/>
        <w:tblW w:w="9100" w:type="dxa"/>
        <w:tblInd w:w="55" w:type="dxa"/>
        <w:tblLayout w:type="fixed"/>
        <w:tblLook w:val="0400" w:firstRow="0" w:lastRow="0" w:firstColumn="0" w:lastColumn="0" w:noHBand="0" w:noVBand="1"/>
      </w:tblPr>
      <w:tblGrid>
        <w:gridCol w:w="3840"/>
        <w:gridCol w:w="2380"/>
        <w:gridCol w:w="2880"/>
      </w:tblGrid>
      <w:tr w:rsidR="00AF7634">
        <w:trPr>
          <w:trHeight w:val="300"/>
        </w:trPr>
        <w:tc>
          <w:tcPr>
            <w:tcW w:w="384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Concepto</w:t>
            </w:r>
          </w:p>
        </w:tc>
        <w:tc>
          <w:tcPr>
            <w:tcW w:w="23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2022</w:t>
            </w:r>
          </w:p>
        </w:tc>
        <w:tc>
          <w:tcPr>
            <w:tcW w:w="2880" w:type="dxa"/>
            <w:tcBorders>
              <w:top w:val="single" w:sz="8" w:space="0" w:color="000000"/>
              <w:left w:val="single" w:sz="8" w:space="0" w:color="000000"/>
              <w:bottom w:val="nil"/>
              <w:right w:val="single" w:sz="8" w:space="0" w:color="000000"/>
            </w:tcBorders>
            <w:shd w:val="clear" w:color="auto" w:fill="828282"/>
            <w:vAlign w:val="center"/>
          </w:tcPr>
          <w:p w:rsidR="00AF7634" w:rsidRPr="00AA3042" w:rsidRDefault="0079353E">
            <w:pPr>
              <w:jc w:val="center"/>
              <w:rPr>
                <w:b/>
                <w:color w:val="FFFFFF" w:themeColor="background1"/>
              </w:rPr>
            </w:pPr>
            <w:r w:rsidRPr="00AA3042">
              <w:rPr>
                <w:b/>
                <w:color w:val="FFFFFF" w:themeColor="background1"/>
              </w:rPr>
              <w:t>2021</w:t>
            </w:r>
          </w:p>
        </w:tc>
      </w:tr>
      <w:tr w:rsidR="00AF7634">
        <w:trPr>
          <w:trHeight w:val="300"/>
        </w:trPr>
        <w:tc>
          <w:tcPr>
            <w:tcW w:w="3840" w:type="dxa"/>
            <w:tcBorders>
              <w:top w:val="nil"/>
              <w:left w:val="single" w:sz="8" w:space="0" w:color="000000"/>
              <w:bottom w:val="single" w:sz="8" w:space="0" w:color="000000"/>
              <w:right w:val="single" w:sz="8" w:space="0" w:color="000000"/>
            </w:tcBorders>
            <w:shd w:val="clear" w:color="auto" w:fill="FFFFFF"/>
            <w:vAlign w:val="center"/>
          </w:tcPr>
          <w:p w:rsidR="00AF7634" w:rsidRDefault="0079353E">
            <w:r>
              <w:t>PODER EJECUTIVO</w:t>
            </w:r>
          </w:p>
        </w:tc>
        <w:tc>
          <w:tcPr>
            <w:tcW w:w="23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22,060,290</w:t>
            </w:r>
          </w:p>
        </w:tc>
        <w:tc>
          <w:tcPr>
            <w:tcW w:w="2880" w:type="dxa"/>
            <w:tcBorders>
              <w:top w:val="nil"/>
              <w:left w:val="single" w:sz="8" w:space="0" w:color="000000"/>
              <w:bottom w:val="single" w:sz="8" w:space="0" w:color="000000"/>
              <w:right w:val="single" w:sz="8" w:space="0" w:color="000000"/>
            </w:tcBorders>
            <w:shd w:val="clear" w:color="auto" w:fill="FFFFFF"/>
            <w:vAlign w:val="center"/>
          </w:tcPr>
          <w:p w:rsidR="00AF7634" w:rsidRDefault="006462B6">
            <w:pPr>
              <w:jc w:val="right"/>
            </w:pPr>
            <w:r>
              <w:rPr>
                <w:color w:val="000000"/>
              </w:rPr>
              <w:t>19,157,403</w:t>
            </w:r>
          </w:p>
        </w:tc>
      </w:tr>
      <w:tr w:rsidR="00AF7634">
        <w:trPr>
          <w:trHeight w:val="315"/>
        </w:trPr>
        <w:tc>
          <w:tcPr>
            <w:tcW w:w="38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79353E">
            <w:pPr>
              <w:jc w:val="right"/>
              <w:rPr>
                <w:b/>
              </w:rPr>
            </w:pPr>
            <w:r>
              <w:rPr>
                <w:b/>
              </w:rPr>
              <w:t>Suma</w:t>
            </w:r>
          </w:p>
        </w:tc>
        <w:tc>
          <w:tcPr>
            <w:tcW w:w="23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22,060,290</w:t>
            </w:r>
          </w:p>
        </w:tc>
        <w:tc>
          <w:tcPr>
            <w:tcW w:w="288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F7634" w:rsidRDefault="006462B6">
            <w:pPr>
              <w:jc w:val="right"/>
              <w:rPr>
                <w:b/>
              </w:rPr>
            </w:pPr>
            <w:r>
              <w:rPr>
                <w:b/>
                <w:color w:val="000000"/>
              </w:rPr>
              <w:t>19,157,403</w:t>
            </w:r>
          </w:p>
        </w:tc>
      </w:tr>
    </w:tbl>
    <w:p w:rsidR="00AF7634" w:rsidRDefault="00AF7634">
      <w:pPr>
        <w:rPr>
          <w:b/>
        </w:rPr>
      </w:pPr>
    </w:p>
    <w:p w:rsidR="00AF7634" w:rsidRDefault="00AF7634">
      <w:pPr>
        <w:rPr>
          <w:b/>
        </w:rPr>
      </w:pPr>
    </w:p>
    <w:p w:rsidR="000B6AA3" w:rsidRDefault="000B6AA3">
      <w:pPr>
        <w:rPr>
          <w:b/>
        </w:rPr>
      </w:pPr>
    </w:p>
    <w:p w:rsidR="00AF7634" w:rsidRDefault="00620F3A">
      <w:pPr>
        <w:rPr>
          <w:b/>
        </w:rPr>
      </w:pPr>
      <w:r>
        <w:rPr>
          <w:b/>
        </w:rPr>
        <w:t>Nota 13</w:t>
      </w:r>
      <w:r w:rsidR="0079353E">
        <w:rPr>
          <w:b/>
        </w:rPr>
        <w:t>. Al Estado de Variación de la Hacienda Pública/Patrimonio del Gobierno Estatal Consolidado</w:t>
      </w:r>
    </w:p>
    <w:p w:rsidR="00AF7634" w:rsidRDefault="00AF7634">
      <w:pPr>
        <w:jc w:val="both"/>
      </w:pPr>
    </w:p>
    <w:p w:rsidR="00AF7634" w:rsidRDefault="00AF7634">
      <w:pPr>
        <w:jc w:val="both"/>
      </w:pPr>
    </w:p>
    <w:p w:rsidR="00AF7634" w:rsidRDefault="0079353E">
      <w:pPr>
        <w:jc w:val="both"/>
      </w:pPr>
      <w:r>
        <w:t>La Hacienda Pública representa el importe de los bienes y derechos que son propiedad del Gobierno del Estado de Oaxaca, abarca las variaciones entre el sa</w:t>
      </w:r>
      <w:r w:rsidR="00A7579D">
        <w:t>ldo del periodo enero-junio</w:t>
      </w:r>
      <w:r>
        <w:t xml:space="preserve"> del ejercicio fiscal 2022, cuyo análisis muestra los cambios y las variaciones acontecidas en el mismo periodo del año anterior (2021), </w:t>
      </w:r>
      <w:r w:rsidR="00536E2E">
        <w:t>al 30 de junio de 2022</w:t>
      </w:r>
      <w:r>
        <w:t xml:space="preserve"> y 2021 estas dichas variaciones se muestran de esta manera:</w:t>
      </w:r>
    </w:p>
    <w:p w:rsidR="00AF7634" w:rsidRDefault="00AF7634"/>
    <w:p w:rsidR="00AF7634" w:rsidRDefault="00AF7634"/>
    <w:p w:rsidR="00AF7634" w:rsidRDefault="0079353E">
      <w:pPr>
        <w:jc w:val="center"/>
        <w:rPr>
          <w:b/>
        </w:rPr>
      </w:pPr>
      <w:r>
        <w:rPr>
          <w:b/>
        </w:rPr>
        <w:t>(Pesos)</w:t>
      </w:r>
    </w:p>
    <w:tbl>
      <w:tblPr>
        <w:tblW w:w="8871" w:type="dxa"/>
        <w:tblInd w:w="55" w:type="dxa"/>
        <w:tblCellMar>
          <w:left w:w="70" w:type="dxa"/>
          <w:right w:w="70" w:type="dxa"/>
        </w:tblCellMar>
        <w:tblLook w:val="04A0" w:firstRow="1" w:lastRow="0" w:firstColumn="1" w:lastColumn="0" w:noHBand="0" w:noVBand="1"/>
      </w:tblPr>
      <w:tblGrid>
        <w:gridCol w:w="3753"/>
        <w:gridCol w:w="2583"/>
        <w:gridCol w:w="2535"/>
      </w:tblGrid>
      <w:tr w:rsidR="006462B6" w:rsidRPr="006462B6" w:rsidTr="006462B6">
        <w:trPr>
          <w:trHeight w:val="315"/>
        </w:trPr>
        <w:tc>
          <w:tcPr>
            <w:tcW w:w="3753"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583"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35"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6462B6">
        <w:trPr>
          <w:trHeight w:val="300"/>
        </w:trPr>
        <w:tc>
          <w:tcPr>
            <w:tcW w:w="3753"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583"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9,159,179,503</w:t>
            </w:r>
          </w:p>
        </w:tc>
        <w:tc>
          <w:tcPr>
            <w:tcW w:w="2535"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7,703,228,587</w:t>
            </w:r>
          </w:p>
        </w:tc>
      </w:tr>
      <w:tr w:rsidR="006462B6" w:rsidRPr="006462B6" w:rsidTr="006462B6">
        <w:trPr>
          <w:trHeight w:val="300"/>
        </w:trPr>
        <w:tc>
          <w:tcPr>
            <w:tcW w:w="3753"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583"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124,390,978</w:t>
            </w:r>
          </w:p>
        </w:tc>
        <w:tc>
          <w:tcPr>
            <w:tcW w:w="2535"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119,621,254</w:t>
            </w:r>
          </w:p>
        </w:tc>
      </w:tr>
      <w:tr w:rsidR="006462B6" w:rsidRPr="006462B6" w:rsidTr="006462B6">
        <w:trPr>
          <w:trHeight w:val="300"/>
        </w:trPr>
        <w:tc>
          <w:tcPr>
            <w:tcW w:w="3753" w:type="dxa"/>
            <w:tcBorders>
              <w:top w:val="nil"/>
              <w:left w:val="single" w:sz="8" w:space="0" w:color="auto"/>
              <w:bottom w:val="nil"/>
              <w:right w:val="single" w:sz="8"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583"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649,928,953</w:t>
            </w:r>
          </w:p>
        </w:tc>
        <w:tc>
          <w:tcPr>
            <w:tcW w:w="2535"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637,331,043</w:t>
            </w:r>
          </w:p>
        </w:tc>
      </w:tr>
      <w:tr w:rsidR="006462B6" w:rsidRPr="006462B6" w:rsidTr="006462B6">
        <w:trPr>
          <w:trHeight w:val="300"/>
        </w:trPr>
        <w:tc>
          <w:tcPr>
            <w:tcW w:w="3753" w:type="dxa"/>
            <w:tcBorders>
              <w:top w:val="nil"/>
              <w:left w:val="single" w:sz="8" w:space="0" w:color="auto"/>
              <w:bottom w:val="nil"/>
              <w:right w:val="nil"/>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583" w:type="dxa"/>
            <w:tcBorders>
              <w:top w:val="nil"/>
              <w:left w:val="single" w:sz="8" w:space="0" w:color="auto"/>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624,985,929</w:t>
            </w:r>
          </w:p>
        </w:tc>
        <w:tc>
          <w:tcPr>
            <w:tcW w:w="2535"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609,135,864</w:t>
            </w:r>
          </w:p>
        </w:tc>
      </w:tr>
      <w:tr w:rsidR="006462B6" w:rsidRPr="006462B6" w:rsidTr="006462B6">
        <w:trPr>
          <w:trHeight w:val="330"/>
        </w:trPr>
        <w:tc>
          <w:tcPr>
            <w:tcW w:w="3753" w:type="dxa"/>
            <w:tcBorders>
              <w:top w:val="nil"/>
              <w:left w:val="single" w:sz="8" w:space="0" w:color="auto"/>
              <w:bottom w:val="single" w:sz="8" w:space="0" w:color="auto"/>
              <w:right w:val="single" w:sz="8"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Suma</w:t>
            </w:r>
          </w:p>
        </w:tc>
        <w:tc>
          <w:tcPr>
            <w:tcW w:w="2583" w:type="dxa"/>
            <w:tcBorders>
              <w:top w:val="single" w:sz="4" w:space="0" w:color="auto"/>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10,558,485,362</w:t>
            </w:r>
          </w:p>
        </w:tc>
        <w:tc>
          <w:tcPr>
            <w:tcW w:w="2535" w:type="dxa"/>
            <w:tcBorders>
              <w:top w:val="single" w:sz="4" w:space="0" w:color="auto"/>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9,069,316,747</w:t>
            </w:r>
          </w:p>
        </w:tc>
      </w:tr>
    </w:tbl>
    <w:p w:rsidR="00AF7634" w:rsidRDefault="00AF7634">
      <w:pPr>
        <w:rPr>
          <w:b/>
        </w:rPr>
      </w:pPr>
    </w:p>
    <w:p w:rsidR="00AF7634" w:rsidRDefault="00AF7634">
      <w:pPr>
        <w:jc w:val="both"/>
      </w:pPr>
    </w:p>
    <w:p w:rsidR="00AF7634" w:rsidRDefault="00AF7634">
      <w:pPr>
        <w:jc w:val="both"/>
      </w:pPr>
    </w:p>
    <w:p w:rsidR="00AF7634" w:rsidRDefault="00620F3A">
      <w:pPr>
        <w:rPr>
          <w:b/>
        </w:rPr>
      </w:pPr>
      <w:r>
        <w:rPr>
          <w:b/>
        </w:rPr>
        <w:lastRenderedPageBreak/>
        <w:t>Nota 14</w:t>
      </w:r>
      <w:r w:rsidR="0079353E">
        <w:rPr>
          <w:b/>
        </w:rPr>
        <w:t>. Al Estado de Actividades del Gobierno Estatal Consolidado</w:t>
      </w:r>
    </w:p>
    <w:p w:rsidR="00AF7634" w:rsidRDefault="00AF7634">
      <w:pPr>
        <w:jc w:val="both"/>
      </w:pPr>
    </w:p>
    <w:p w:rsidR="00AF7634" w:rsidRDefault="0079353E">
      <w:pPr>
        <w:jc w:val="both"/>
      </w:pPr>
      <w: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17769A">
        <w:t>enero-junio 2022</w:t>
      </w:r>
      <w:r>
        <w:t xml:space="preserve"> y 2021,  se muestra a continuación:</w:t>
      </w:r>
    </w:p>
    <w:p w:rsidR="00AF7634" w:rsidRDefault="00AF7634" w:rsidP="000B6AA3"/>
    <w:p w:rsidR="00AF7634" w:rsidRDefault="00AF7634">
      <w:pPr>
        <w:jc w:val="both"/>
      </w:pPr>
    </w:p>
    <w:p w:rsidR="00AF7634" w:rsidRDefault="0079353E">
      <w:pPr>
        <w:jc w:val="center"/>
        <w:rPr>
          <w:b/>
        </w:rPr>
      </w:pPr>
      <w:r>
        <w:rPr>
          <w:b/>
        </w:rPr>
        <w:t>(Pesos)</w:t>
      </w:r>
    </w:p>
    <w:tbl>
      <w:tblPr>
        <w:tblW w:w="8795" w:type="dxa"/>
        <w:tblInd w:w="55" w:type="dxa"/>
        <w:tblCellMar>
          <w:left w:w="70" w:type="dxa"/>
          <w:right w:w="70" w:type="dxa"/>
        </w:tblCellMar>
        <w:tblLook w:val="04A0" w:firstRow="1" w:lastRow="0" w:firstColumn="1" w:lastColumn="0" w:noHBand="0" w:noVBand="1"/>
      </w:tblPr>
      <w:tblGrid>
        <w:gridCol w:w="3721"/>
        <w:gridCol w:w="2561"/>
        <w:gridCol w:w="2513"/>
      </w:tblGrid>
      <w:tr w:rsidR="006462B6" w:rsidRPr="006462B6" w:rsidTr="000B038E">
        <w:trPr>
          <w:trHeight w:val="309"/>
        </w:trPr>
        <w:tc>
          <w:tcPr>
            <w:tcW w:w="3721" w:type="dxa"/>
            <w:tcBorders>
              <w:top w:val="single" w:sz="8" w:space="0" w:color="auto"/>
              <w:left w:val="single" w:sz="8" w:space="0" w:color="auto"/>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Concepto</w:t>
            </w:r>
          </w:p>
        </w:tc>
        <w:tc>
          <w:tcPr>
            <w:tcW w:w="2561" w:type="dxa"/>
            <w:tcBorders>
              <w:top w:val="single" w:sz="8" w:space="0" w:color="auto"/>
              <w:left w:val="nil"/>
              <w:bottom w:val="nil"/>
              <w:right w:val="nil"/>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2022</w:t>
            </w:r>
          </w:p>
        </w:tc>
        <w:tc>
          <w:tcPr>
            <w:tcW w:w="2513" w:type="dxa"/>
            <w:tcBorders>
              <w:top w:val="single" w:sz="8" w:space="0" w:color="auto"/>
              <w:left w:val="nil"/>
              <w:bottom w:val="nil"/>
              <w:right w:val="single" w:sz="8" w:space="0" w:color="auto"/>
            </w:tcBorders>
            <w:shd w:val="clear" w:color="000000" w:fill="828282"/>
            <w:noWrap/>
            <w:vAlign w:val="center"/>
            <w:hideMark/>
          </w:tcPr>
          <w:p w:rsidR="006462B6" w:rsidRPr="006462B6" w:rsidRDefault="006462B6" w:rsidP="006462B6">
            <w:pPr>
              <w:jc w:val="center"/>
              <w:rPr>
                <w:rFonts w:eastAsia="Times New Roman" w:cs="Calibri"/>
                <w:b/>
                <w:bCs/>
                <w:color w:val="FFFFFF"/>
                <w:lang w:val="es-MX"/>
              </w:rPr>
            </w:pPr>
            <w:r w:rsidRPr="006462B6">
              <w:rPr>
                <w:rFonts w:eastAsia="Times New Roman" w:cs="Calibri"/>
                <w:b/>
                <w:bCs/>
                <w:color w:val="FFFFFF"/>
                <w:lang w:val="es-MX"/>
              </w:rPr>
              <w:t>2021</w:t>
            </w:r>
          </w:p>
        </w:tc>
      </w:tr>
      <w:tr w:rsidR="006462B6" w:rsidRPr="006462B6" w:rsidTr="000B038E">
        <w:trPr>
          <w:trHeight w:val="294"/>
        </w:trPr>
        <w:tc>
          <w:tcPr>
            <w:tcW w:w="3721" w:type="dxa"/>
            <w:tcBorders>
              <w:top w:val="single" w:sz="4" w:space="0" w:color="auto"/>
              <w:left w:val="single" w:sz="4" w:space="0" w:color="auto"/>
              <w:bottom w:val="nil"/>
              <w:right w:val="single" w:sz="4"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EJECUTIVO</w:t>
            </w:r>
          </w:p>
        </w:tc>
        <w:tc>
          <w:tcPr>
            <w:tcW w:w="2561" w:type="dxa"/>
            <w:tcBorders>
              <w:top w:val="nil"/>
              <w:left w:val="nil"/>
              <w:bottom w:val="nil"/>
              <w:right w:val="nil"/>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3,440,915,702</w:t>
            </w:r>
          </w:p>
        </w:tc>
        <w:tc>
          <w:tcPr>
            <w:tcW w:w="2513" w:type="dxa"/>
            <w:tcBorders>
              <w:top w:val="nil"/>
              <w:left w:val="nil"/>
              <w:bottom w:val="nil"/>
              <w:right w:val="single" w:sz="8" w:space="0" w:color="auto"/>
            </w:tcBorders>
            <w:shd w:val="clear" w:color="000000" w:fill="FFFFFF"/>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1,238,934,431</w:t>
            </w:r>
          </w:p>
        </w:tc>
      </w:tr>
      <w:tr w:rsidR="006462B6" w:rsidRPr="006462B6" w:rsidTr="000B038E">
        <w:trPr>
          <w:trHeight w:val="294"/>
        </w:trPr>
        <w:tc>
          <w:tcPr>
            <w:tcW w:w="3721" w:type="dxa"/>
            <w:tcBorders>
              <w:top w:val="nil"/>
              <w:left w:val="single" w:sz="4" w:space="0" w:color="auto"/>
              <w:bottom w:val="nil"/>
              <w:right w:val="single" w:sz="4"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 xml:space="preserve">PODER LEGISLATIVO </w:t>
            </w:r>
          </w:p>
        </w:tc>
        <w:tc>
          <w:tcPr>
            <w:tcW w:w="2561"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4,784,974</w:t>
            </w:r>
          </w:p>
        </w:tc>
        <w:tc>
          <w:tcPr>
            <w:tcW w:w="2513"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1,394,588</w:t>
            </w:r>
          </w:p>
        </w:tc>
      </w:tr>
      <w:tr w:rsidR="006462B6" w:rsidRPr="006462B6" w:rsidTr="000B038E">
        <w:trPr>
          <w:trHeight w:val="294"/>
        </w:trPr>
        <w:tc>
          <w:tcPr>
            <w:tcW w:w="3721" w:type="dxa"/>
            <w:tcBorders>
              <w:top w:val="nil"/>
              <w:left w:val="single" w:sz="4" w:space="0" w:color="auto"/>
              <w:bottom w:val="nil"/>
              <w:right w:val="single" w:sz="4"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PODER JUDICIAL</w:t>
            </w:r>
          </w:p>
        </w:tc>
        <w:tc>
          <w:tcPr>
            <w:tcW w:w="2561"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-374,023</w:t>
            </w:r>
          </w:p>
        </w:tc>
        <w:tc>
          <w:tcPr>
            <w:tcW w:w="2513"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15,352,933</w:t>
            </w:r>
          </w:p>
        </w:tc>
      </w:tr>
      <w:tr w:rsidR="006462B6" w:rsidRPr="006462B6" w:rsidTr="000B038E">
        <w:trPr>
          <w:trHeight w:val="294"/>
        </w:trPr>
        <w:tc>
          <w:tcPr>
            <w:tcW w:w="3721" w:type="dxa"/>
            <w:tcBorders>
              <w:top w:val="nil"/>
              <w:left w:val="single" w:sz="4" w:space="0" w:color="auto"/>
              <w:bottom w:val="nil"/>
              <w:right w:val="single" w:sz="4"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ÓRGANOS AUTÓNOMOS</w:t>
            </w:r>
          </w:p>
        </w:tc>
        <w:tc>
          <w:tcPr>
            <w:tcW w:w="2561" w:type="dxa"/>
            <w:tcBorders>
              <w:top w:val="nil"/>
              <w:left w:val="nil"/>
              <w:bottom w:val="nil"/>
              <w:right w:val="nil"/>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-1,274,721</w:t>
            </w:r>
          </w:p>
        </w:tc>
        <w:tc>
          <w:tcPr>
            <w:tcW w:w="2513" w:type="dxa"/>
            <w:tcBorders>
              <w:top w:val="nil"/>
              <w:left w:val="nil"/>
              <w:bottom w:val="nil"/>
              <w:right w:val="single" w:sz="8" w:space="0" w:color="auto"/>
            </w:tcBorders>
            <w:shd w:val="clear" w:color="000000" w:fill="FFFFFF"/>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-13,682,228</w:t>
            </w:r>
          </w:p>
        </w:tc>
      </w:tr>
      <w:tr w:rsidR="006462B6" w:rsidRPr="006462B6" w:rsidTr="000B038E">
        <w:trPr>
          <w:trHeight w:val="294"/>
        </w:trPr>
        <w:tc>
          <w:tcPr>
            <w:tcW w:w="3721" w:type="dxa"/>
            <w:tcBorders>
              <w:top w:val="nil"/>
              <w:left w:val="single" w:sz="4" w:space="0" w:color="auto"/>
              <w:bottom w:val="nil"/>
              <w:right w:val="single" w:sz="4" w:space="0" w:color="auto"/>
            </w:tcBorders>
            <w:shd w:val="clear" w:color="000000" w:fill="FFFFFF"/>
            <w:noWrap/>
            <w:vAlign w:val="center"/>
            <w:hideMark/>
          </w:tcPr>
          <w:p w:rsidR="006462B6" w:rsidRPr="006462B6" w:rsidRDefault="006462B6" w:rsidP="006462B6">
            <w:pPr>
              <w:rPr>
                <w:rFonts w:eastAsia="Times New Roman" w:cs="Calibri"/>
                <w:color w:val="000000"/>
                <w:lang w:val="es-MX"/>
              </w:rPr>
            </w:pPr>
            <w:r w:rsidRPr="006462B6">
              <w:rPr>
                <w:rFonts w:eastAsia="Times New Roman" w:cs="Calibri"/>
                <w:color w:val="000000"/>
                <w:lang w:val="es-MX"/>
              </w:rPr>
              <w:t>SECTOR PARAESTATAL</w:t>
            </w:r>
          </w:p>
        </w:tc>
        <w:tc>
          <w:tcPr>
            <w:tcW w:w="2561" w:type="dxa"/>
            <w:tcBorders>
              <w:top w:val="nil"/>
              <w:left w:val="nil"/>
              <w:bottom w:val="nil"/>
              <w:right w:val="nil"/>
            </w:tcBorders>
            <w:shd w:val="clear" w:color="auto" w:fill="auto"/>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2,485,086,474</w:t>
            </w:r>
          </w:p>
        </w:tc>
        <w:tc>
          <w:tcPr>
            <w:tcW w:w="2513" w:type="dxa"/>
            <w:tcBorders>
              <w:top w:val="nil"/>
              <w:left w:val="nil"/>
              <w:bottom w:val="nil"/>
              <w:right w:val="single" w:sz="8" w:space="0" w:color="auto"/>
            </w:tcBorders>
            <w:shd w:val="clear" w:color="auto" w:fill="auto"/>
            <w:noWrap/>
            <w:vAlign w:val="center"/>
            <w:hideMark/>
          </w:tcPr>
          <w:p w:rsidR="006462B6" w:rsidRPr="006462B6" w:rsidRDefault="006462B6" w:rsidP="006462B6">
            <w:pPr>
              <w:jc w:val="right"/>
              <w:rPr>
                <w:rFonts w:eastAsia="Times New Roman" w:cs="Calibri"/>
                <w:color w:val="000000"/>
                <w:lang w:val="es-MX"/>
              </w:rPr>
            </w:pPr>
            <w:r w:rsidRPr="006462B6">
              <w:rPr>
                <w:rFonts w:eastAsia="Times New Roman" w:cs="Calibri"/>
                <w:color w:val="000000"/>
                <w:lang w:val="es-MX"/>
              </w:rPr>
              <w:t>1,190,490,364</w:t>
            </w:r>
          </w:p>
        </w:tc>
      </w:tr>
      <w:tr w:rsidR="006462B6" w:rsidRPr="006462B6" w:rsidTr="000B038E">
        <w:trPr>
          <w:trHeight w:val="323"/>
        </w:trPr>
        <w:tc>
          <w:tcPr>
            <w:tcW w:w="3721" w:type="dxa"/>
            <w:tcBorders>
              <w:top w:val="nil"/>
              <w:left w:val="single" w:sz="4" w:space="0" w:color="auto"/>
              <w:bottom w:val="single" w:sz="4" w:space="0" w:color="auto"/>
              <w:right w:val="single" w:sz="4" w:space="0" w:color="auto"/>
            </w:tcBorders>
            <w:shd w:val="clear" w:color="000000" w:fill="FFFFFF"/>
            <w:noWrap/>
            <w:vAlign w:val="center"/>
            <w:hideMark/>
          </w:tcPr>
          <w:p w:rsidR="006462B6" w:rsidRPr="006462B6" w:rsidRDefault="006462B6" w:rsidP="006462B6">
            <w:pPr>
              <w:jc w:val="right"/>
              <w:rPr>
                <w:rFonts w:eastAsia="Times New Roman" w:cs="Calibri"/>
                <w:b/>
                <w:bCs/>
                <w:color w:val="000000"/>
                <w:sz w:val="22"/>
                <w:szCs w:val="22"/>
                <w:lang w:val="es-MX"/>
              </w:rPr>
            </w:pPr>
            <w:r w:rsidRPr="006462B6">
              <w:rPr>
                <w:rFonts w:eastAsia="Times New Roman" w:cs="Calibri"/>
                <w:b/>
                <w:bCs/>
                <w:color w:val="000000"/>
                <w:sz w:val="22"/>
                <w:szCs w:val="22"/>
                <w:lang w:val="es-MX"/>
              </w:rPr>
              <w:t>Suma</w:t>
            </w:r>
          </w:p>
        </w:tc>
        <w:tc>
          <w:tcPr>
            <w:tcW w:w="2561" w:type="dxa"/>
            <w:tcBorders>
              <w:top w:val="single" w:sz="4" w:space="0" w:color="auto"/>
              <w:left w:val="nil"/>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5,929,138,407</w:t>
            </w:r>
          </w:p>
        </w:tc>
        <w:tc>
          <w:tcPr>
            <w:tcW w:w="2513" w:type="dxa"/>
            <w:tcBorders>
              <w:top w:val="single" w:sz="4" w:space="0" w:color="auto"/>
              <w:left w:val="single" w:sz="4" w:space="0" w:color="auto"/>
              <w:bottom w:val="double" w:sz="6" w:space="0" w:color="auto"/>
              <w:right w:val="nil"/>
            </w:tcBorders>
            <w:shd w:val="clear" w:color="000000" w:fill="FFFFFF"/>
            <w:noWrap/>
            <w:vAlign w:val="center"/>
            <w:hideMark/>
          </w:tcPr>
          <w:p w:rsidR="006462B6" w:rsidRPr="006462B6" w:rsidRDefault="006462B6" w:rsidP="006462B6">
            <w:pPr>
              <w:jc w:val="right"/>
              <w:rPr>
                <w:rFonts w:eastAsia="Times New Roman" w:cs="Calibri"/>
                <w:b/>
                <w:bCs/>
                <w:color w:val="000000"/>
                <w:lang w:val="es-MX"/>
              </w:rPr>
            </w:pPr>
            <w:r w:rsidRPr="006462B6">
              <w:rPr>
                <w:rFonts w:eastAsia="Times New Roman" w:cs="Calibri"/>
                <w:b/>
                <w:bCs/>
                <w:color w:val="000000"/>
                <w:lang w:val="es-MX"/>
              </w:rPr>
              <w:t>2,432,490,089</w:t>
            </w:r>
          </w:p>
        </w:tc>
      </w:tr>
    </w:tbl>
    <w:p w:rsidR="00AF7634" w:rsidRDefault="00AF7634">
      <w:pPr>
        <w:rPr>
          <w:b/>
        </w:rPr>
      </w:pPr>
    </w:p>
    <w:p w:rsidR="000B6AA3" w:rsidRDefault="000B6AA3">
      <w:pPr>
        <w:rPr>
          <w:b/>
        </w:rPr>
      </w:pPr>
    </w:p>
    <w:p w:rsidR="00AF7634" w:rsidRDefault="00AF7634">
      <w:pPr>
        <w:rPr>
          <w:b/>
        </w:rPr>
      </w:pPr>
    </w:p>
    <w:p w:rsidR="00AF7634" w:rsidRPr="000B6AA3" w:rsidRDefault="00620F3A" w:rsidP="000B6AA3">
      <w:pPr>
        <w:rPr>
          <w:b/>
        </w:rPr>
      </w:pPr>
      <w:r>
        <w:rPr>
          <w:b/>
        </w:rPr>
        <w:t>Nota 15</w:t>
      </w:r>
      <w:r w:rsidR="0079353E">
        <w:rPr>
          <w:b/>
        </w:rPr>
        <w:t>. Al Estado de Flujos de Efectivo del Gobierno del Estado Consolidado</w:t>
      </w:r>
    </w:p>
    <w:p w:rsidR="00AF7634" w:rsidRDefault="00AF7634">
      <w:pPr>
        <w:jc w:val="both"/>
      </w:pPr>
    </w:p>
    <w:p w:rsidR="00AF7634" w:rsidRDefault="0079353E">
      <w:pPr>
        <w:jc w:val="both"/>
      </w:pPr>
      <w: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536E2E">
        <w:t>al 30 de junio de 2022</w:t>
      </w:r>
      <w:r>
        <w:t xml:space="preserve">  comparado con el ejercicio 2021:</w:t>
      </w:r>
    </w:p>
    <w:p w:rsidR="00AF7634" w:rsidRDefault="00AF7634"/>
    <w:p w:rsidR="00AF7634" w:rsidRDefault="0079353E">
      <w:pPr>
        <w:jc w:val="center"/>
        <w:rPr>
          <w:b/>
        </w:rPr>
      </w:pPr>
      <w:r>
        <w:rPr>
          <w:b/>
        </w:rPr>
        <w:t>(Pesos)</w:t>
      </w:r>
    </w:p>
    <w:tbl>
      <w:tblPr>
        <w:tblW w:w="8931" w:type="dxa"/>
        <w:tblInd w:w="55" w:type="dxa"/>
        <w:tblCellMar>
          <w:left w:w="70" w:type="dxa"/>
          <w:right w:w="70" w:type="dxa"/>
        </w:tblCellMar>
        <w:tblLook w:val="04A0" w:firstRow="1" w:lastRow="0" w:firstColumn="1" w:lastColumn="0" w:noHBand="0" w:noVBand="1"/>
      </w:tblPr>
      <w:tblGrid>
        <w:gridCol w:w="3778"/>
        <w:gridCol w:w="2601"/>
        <w:gridCol w:w="2552"/>
      </w:tblGrid>
      <w:tr w:rsidR="000B038E" w:rsidRPr="000B038E" w:rsidTr="000B038E">
        <w:trPr>
          <w:trHeight w:val="308"/>
        </w:trPr>
        <w:tc>
          <w:tcPr>
            <w:tcW w:w="3778" w:type="dxa"/>
            <w:tcBorders>
              <w:top w:val="single" w:sz="8" w:space="0" w:color="auto"/>
              <w:left w:val="single" w:sz="8" w:space="0" w:color="auto"/>
              <w:bottom w:val="nil"/>
              <w:right w:val="single" w:sz="8" w:space="0" w:color="auto"/>
            </w:tcBorders>
            <w:shd w:val="clear" w:color="000000" w:fill="828282"/>
            <w:noWrap/>
            <w:vAlign w:val="center"/>
            <w:hideMark/>
          </w:tcPr>
          <w:p w:rsidR="000B038E" w:rsidRPr="000B038E" w:rsidRDefault="000B038E" w:rsidP="000B038E">
            <w:pPr>
              <w:jc w:val="center"/>
              <w:rPr>
                <w:rFonts w:eastAsia="Times New Roman" w:cs="Calibri"/>
                <w:b/>
                <w:bCs/>
                <w:color w:val="FFFFFF"/>
                <w:lang w:val="es-MX"/>
              </w:rPr>
            </w:pPr>
            <w:r w:rsidRPr="000B038E">
              <w:rPr>
                <w:rFonts w:eastAsia="Times New Roman" w:cs="Calibri"/>
                <w:b/>
                <w:bCs/>
                <w:color w:val="FFFFFF"/>
                <w:lang w:val="es-MX"/>
              </w:rPr>
              <w:t>Concepto</w:t>
            </w:r>
          </w:p>
        </w:tc>
        <w:tc>
          <w:tcPr>
            <w:tcW w:w="2601" w:type="dxa"/>
            <w:tcBorders>
              <w:top w:val="single" w:sz="8" w:space="0" w:color="auto"/>
              <w:left w:val="nil"/>
              <w:bottom w:val="nil"/>
              <w:right w:val="nil"/>
            </w:tcBorders>
            <w:shd w:val="clear" w:color="000000" w:fill="828282"/>
            <w:noWrap/>
            <w:vAlign w:val="center"/>
            <w:hideMark/>
          </w:tcPr>
          <w:p w:rsidR="000B038E" w:rsidRPr="000B038E" w:rsidRDefault="000B038E" w:rsidP="000B038E">
            <w:pPr>
              <w:jc w:val="center"/>
              <w:rPr>
                <w:rFonts w:eastAsia="Times New Roman" w:cs="Calibri"/>
                <w:b/>
                <w:bCs/>
                <w:color w:val="FFFFFF"/>
                <w:lang w:val="es-MX"/>
              </w:rPr>
            </w:pPr>
            <w:r w:rsidRPr="000B038E">
              <w:rPr>
                <w:rFonts w:eastAsia="Times New Roman" w:cs="Calibri"/>
                <w:b/>
                <w:bCs/>
                <w:color w:val="FFFFFF"/>
                <w:lang w:val="es-MX"/>
              </w:rPr>
              <w:t>2022</w:t>
            </w:r>
          </w:p>
        </w:tc>
        <w:tc>
          <w:tcPr>
            <w:tcW w:w="2552" w:type="dxa"/>
            <w:tcBorders>
              <w:top w:val="single" w:sz="8" w:space="0" w:color="auto"/>
              <w:left w:val="nil"/>
              <w:bottom w:val="nil"/>
              <w:right w:val="single" w:sz="8" w:space="0" w:color="auto"/>
            </w:tcBorders>
            <w:shd w:val="clear" w:color="000000" w:fill="828282"/>
            <w:noWrap/>
            <w:vAlign w:val="center"/>
            <w:hideMark/>
          </w:tcPr>
          <w:p w:rsidR="000B038E" w:rsidRPr="000B038E" w:rsidRDefault="000B038E" w:rsidP="000B038E">
            <w:pPr>
              <w:jc w:val="center"/>
              <w:rPr>
                <w:rFonts w:eastAsia="Times New Roman" w:cs="Calibri"/>
                <w:b/>
                <w:bCs/>
                <w:color w:val="FFFFFF"/>
                <w:lang w:val="es-MX"/>
              </w:rPr>
            </w:pPr>
            <w:r w:rsidRPr="000B038E">
              <w:rPr>
                <w:rFonts w:eastAsia="Times New Roman" w:cs="Calibri"/>
                <w:b/>
                <w:bCs/>
                <w:color w:val="FFFFFF"/>
                <w:lang w:val="es-MX"/>
              </w:rPr>
              <w:t>2021</w:t>
            </w:r>
          </w:p>
        </w:tc>
      </w:tr>
      <w:tr w:rsidR="000B038E" w:rsidRPr="000B038E" w:rsidTr="000B038E">
        <w:trPr>
          <w:trHeight w:val="293"/>
        </w:trPr>
        <w:tc>
          <w:tcPr>
            <w:tcW w:w="3778" w:type="dxa"/>
            <w:tcBorders>
              <w:top w:val="nil"/>
              <w:left w:val="single" w:sz="8" w:space="0" w:color="auto"/>
              <w:bottom w:val="nil"/>
              <w:right w:val="single" w:sz="8" w:space="0" w:color="auto"/>
            </w:tcBorders>
            <w:shd w:val="clear" w:color="000000" w:fill="FFFFFF"/>
            <w:noWrap/>
            <w:vAlign w:val="center"/>
            <w:hideMark/>
          </w:tcPr>
          <w:p w:rsidR="000B038E" w:rsidRPr="000B038E" w:rsidRDefault="000B038E" w:rsidP="000B038E">
            <w:pPr>
              <w:rPr>
                <w:rFonts w:eastAsia="Times New Roman" w:cs="Calibri"/>
                <w:color w:val="000000"/>
                <w:lang w:val="es-MX"/>
              </w:rPr>
            </w:pPr>
            <w:r w:rsidRPr="000B038E">
              <w:rPr>
                <w:rFonts w:eastAsia="Times New Roman" w:cs="Calibri"/>
                <w:color w:val="000000"/>
                <w:lang w:val="es-MX"/>
              </w:rPr>
              <w:t>PODER EJECUTIVO</w:t>
            </w:r>
          </w:p>
        </w:tc>
        <w:tc>
          <w:tcPr>
            <w:tcW w:w="2601" w:type="dxa"/>
            <w:tcBorders>
              <w:top w:val="nil"/>
              <w:left w:val="nil"/>
              <w:bottom w:val="nil"/>
              <w:right w:val="nil"/>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6,371,940,799</w:t>
            </w:r>
          </w:p>
        </w:tc>
        <w:tc>
          <w:tcPr>
            <w:tcW w:w="2552" w:type="dxa"/>
            <w:tcBorders>
              <w:top w:val="nil"/>
              <w:left w:val="nil"/>
              <w:bottom w:val="nil"/>
              <w:right w:val="single" w:sz="8" w:space="0" w:color="auto"/>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4,500,230,665</w:t>
            </w:r>
          </w:p>
        </w:tc>
      </w:tr>
      <w:tr w:rsidR="000B038E" w:rsidRPr="000B038E" w:rsidTr="000B038E">
        <w:trPr>
          <w:trHeight w:val="293"/>
        </w:trPr>
        <w:tc>
          <w:tcPr>
            <w:tcW w:w="3778" w:type="dxa"/>
            <w:tcBorders>
              <w:top w:val="nil"/>
              <w:left w:val="single" w:sz="8" w:space="0" w:color="auto"/>
              <w:bottom w:val="nil"/>
              <w:right w:val="single" w:sz="8" w:space="0" w:color="auto"/>
            </w:tcBorders>
            <w:shd w:val="clear" w:color="000000" w:fill="FFFFFF"/>
            <w:noWrap/>
            <w:vAlign w:val="center"/>
            <w:hideMark/>
          </w:tcPr>
          <w:p w:rsidR="000B038E" w:rsidRPr="000B038E" w:rsidRDefault="000B038E" w:rsidP="000B038E">
            <w:pPr>
              <w:rPr>
                <w:rFonts w:eastAsia="Times New Roman" w:cs="Calibri"/>
                <w:color w:val="000000"/>
                <w:lang w:val="es-MX"/>
              </w:rPr>
            </w:pPr>
            <w:r w:rsidRPr="000B038E">
              <w:rPr>
                <w:rFonts w:eastAsia="Times New Roman" w:cs="Calibri"/>
                <w:color w:val="000000"/>
                <w:lang w:val="es-MX"/>
              </w:rPr>
              <w:t xml:space="preserve">PODER LEGISLATIVO </w:t>
            </w:r>
          </w:p>
        </w:tc>
        <w:tc>
          <w:tcPr>
            <w:tcW w:w="2601" w:type="dxa"/>
            <w:tcBorders>
              <w:top w:val="nil"/>
              <w:left w:val="nil"/>
              <w:bottom w:val="nil"/>
              <w:right w:val="nil"/>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12,351,915</w:t>
            </w:r>
          </w:p>
        </w:tc>
        <w:tc>
          <w:tcPr>
            <w:tcW w:w="2552" w:type="dxa"/>
            <w:tcBorders>
              <w:top w:val="nil"/>
              <w:left w:val="nil"/>
              <w:bottom w:val="nil"/>
              <w:right w:val="single" w:sz="8" w:space="0" w:color="auto"/>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15,946,906</w:t>
            </w:r>
          </w:p>
        </w:tc>
      </w:tr>
      <w:tr w:rsidR="000B038E" w:rsidRPr="000B038E" w:rsidTr="000B038E">
        <w:trPr>
          <w:trHeight w:val="293"/>
        </w:trPr>
        <w:tc>
          <w:tcPr>
            <w:tcW w:w="3778" w:type="dxa"/>
            <w:tcBorders>
              <w:top w:val="nil"/>
              <w:left w:val="single" w:sz="8" w:space="0" w:color="auto"/>
              <w:bottom w:val="nil"/>
              <w:right w:val="single" w:sz="8" w:space="0" w:color="auto"/>
            </w:tcBorders>
            <w:shd w:val="clear" w:color="000000" w:fill="FFFFFF"/>
            <w:noWrap/>
            <w:vAlign w:val="center"/>
            <w:hideMark/>
          </w:tcPr>
          <w:p w:rsidR="000B038E" w:rsidRPr="000B038E" w:rsidRDefault="000B038E" w:rsidP="000B038E">
            <w:pPr>
              <w:rPr>
                <w:rFonts w:eastAsia="Times New Roman" w:cs="Calibri"/>
                <w:color w:val="000000"/>
                <w:lang w:val="es-MX"/>
              </w:rPr>
            </w:pPr>
            <w:r w:rsidRPr="000B038E">
              <w:rPr>
                <w:rFonts w:eastAsia="Times New Roman" w:cs="Calibri"/>
                <w:color w:val="000000"/>
                <w:lang w:val="es-MX"/>
              </w:rPr>
              <w:t>PODER JUDICIAL</w:t>
            </w:r>
          </w:p>
        </w:tc>
        <w:tc>
          <w:tcPr>
            <w:tcW w:w="2601" w:type="dxa"/>
            <w:tcBorders>
              <w:top w:val="nil"/>
              <w:left w:val="nil"/>
              <w:bottom w:val="nil"/>
              <w:right w:val="nil"/>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68,904,011</w:t>
            </w:r>
          </w:p>
        </w:tc>
        <w:tc>
          <w:tcPr>
            <w:tcW w:w="2552" w:type="dxa"/>
            <w:tcBorders>
              <w:top w:val="nil"/>
              <w:left w:val="nil"/>
              <w:bottom w:val="nil"/>
              <w:right w:val="single" w:sz="8" w:space="0" w:color="auto"/>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81,225,316</w:t>
            </w:r>
          </w:p>
        </w:tc>
      </w:tr>
      <w:tr w:rsidR="000B038E" w:rsidRPr="000B038E" w:rsidTr="000B038E">
        <w:trPr>
          <w:trHeight w:val="293"/>
        </w:trPr>
        <w:tc>
          <w:tcPr>
            <w:tcW w:w="3778" w:type="dxa"/>
            <w:tcBorders>
              <w:top w:val="nil"/>
              <w:left w:val="single" w:sz="8" w:space="0" w:color="auto"/>
              <w:bottom w:val="nil"/>
              <w:right w:val="single" w:sz="8" w:space="0" w:color="auto"/>
            </w:tcBorders>
            <w:shd w:val="clear" w:color="000000" w:fill="FFFFFF"/>
            <w:noWrap/>
            <w:vAlign w:val="center"/>
            <w:hideMark/>
          </w:tcPr>
          <w:p w:rsidR="000B038E" w:rsidRPr="000B038E" w:rsidRDefault="000B038E" w:rsidP="000B038E">
            <w:pPr>
              <w:rPr>
                <w:rFonts w:eastAsia="Times New Roman" w:cs="Calibri"/>
                <w:color w:val="000000"/>
                <w:lang w:val="es-MX"/>
              </w:rPr>
            </w:pPr>
            <w:r w:rsidRPr="000B038E">
              <w:rPr>
                <w:rFonts w:eastAsia="Times New Roman" w:cs="Calibri"/>
                <w:color w:val="000000"/>
                <w:lang w:val="es-MX"/>
              </w:rPr>
              <w:t>ÓRGANOS AUTÓNOMOS</w:t>
            </w:r>
          </w:p>
        </w:tc>
        <w:tc>
          <w:tcPr>
            <w:tcW w:w="2601" w:type="dxa"/>
            <w:tcBorders>
              <w:top w:val="nil"/>
              <w:left w:val="nil"/>
              <w:bottom w:val="nil"/>
              <w:right w:val="nil"/>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68,646,146</w:t>
            </w:r>
          </w:p>
        </w:tc>
        <w:tc>
          <w:tcPr>
            <w:tcW w:w="2552" w:type="dxa"/>
            <w:tcBorders>
              <w:top w:val="nil"/>
              <w:left w:val="nil"/>
              <w:bottom w:val="nil"/>
              <w:right w:val="single" w:sz="8" w:space="0" w:color="auto"/>
            </w:tcBorders>
            <w:shd w:val="clear" w:color="000000" w:fill="FFFFFF"/>
            <w:vAlign w:val="center"/>
            <w:hideMark/>
          </w:tcPr>
          <w:p w:rsidR="000B038E" w:rsidRPr="000B038E" w:rsidRDefault="000B038E" w:rsidP="000B038E">
            <w:pPr>
              <w:jc w:val="right"/>
              <w:rPr>
                <w:rFonts w:eastAsia="Times New Roman" w:cs="Calibri"/>
                <w:color w:val="000000"/>
                <w:lang w:val="es-MX"/>
              </w:rPr>
            </w:pPr>
            <w:r w:rsidRPr="000B038E">
              <w:rPr>
                <w:rFonts w:eastAsia="Times New Roman" w:cs="Calibri"/>
                <w:color w:val="000000"/>
                <w:lang w:val="es-MX"/>
              </w:rPr>
              <w:t>63,964,782</w:t>
            </w:r>
          </w:p>
        </w:tc>
      </w:tr>
      <w:tr w:rsidR="000B038E" w:rsidRPr="000B038E" w:rsidTr="000B038E">
        <w:trPr>
          <w:trHeight w:val="322"/>
        </w:trPr>
        <w:tc>
          <w:tcPr>
            <w:tcW w:w="3778" w:type="dxa"/>
            <w:tcBorders>
              <w:top w:val="nil"/>
              <w:left w:val="single" w:sz="8" w:space="0" w:color="auto"/>
              <w:bottom w:val="single" w:sz="8" w:space="0" w:color="auto"/>
              <w:right w:val="single" w:sz="8" w:space="0" w:color="auto"/>
            </w:tcBorders>
            <w:shd w:val="clear" w:color="000000" w:fill="FFFFFF"/>
            <w:noWrap/>
            <w:vAlign w:val="center"/>
            <w:hideMark/>
          </w:tcPr>
          <w:p w:rsidR="000B038E" w:rsidRPr="000B038E" w:rsidRDefault="000B038E" w:rsidP="000B038E">
            <w:pPr>
              <w:jc w:val="right"/>
              <w:rPr>
                <w:rFonts w:eastAsia="Times New Roman" w:cs="Calibri"/>
                <w:b/>
                <w:bCs/>
                <w:color w:val="000000"/>
                <w:lang w:val="es-MX"/>
              </w:rPr>
            </w:pPr>
            <w:r w:rsidRPr="000B038E">
              <w:rPr>
                <w:rFonts w:eastAsia="Times New Roman" w:cs="Calibri"/>
                <w:b/>
                <w:bCs/>
                <w:color w:val="000000"/>
                <w:lang w:val="es-MX"/>
              </w:rPr>
              <w:t>Suma</w:t>
            </w:r>
          </w:p>
        </w:tc>
        <w:tc>
          <w:tcPr>
            <w:tcW w:w="2601" w:type="dxa"/>
            <w:tcBorders>
              <w:top w:val="single" w:sz="4" w:space="0" w:color="auto"/>
              <w:left w:val="single" w:sz="4" w:space="0" w:color="auto"/>
              <w:bottom w:val="double" w:sz="6" w:space="0" w:color="auto"/>
              <w:right w:val="nil"/>
            </w:tcBorders>
            <w:shd w:val="clear" w:color="000000" w:fill="FFFFFF"/>
            <w:noWrap/>
            <w:vAlign w:val="center"/>
            <w:hideMark/>
          </w:tcPr>
          <w:p w:rsidR="000B038E" w:rsidRPr="000B038E" w:rsidRDefault="000B038E" w:rsidP="000B038E">
            <w:pPr>
              <w:jc w:val="right"/>
              <w:rPr>
                <w:rFonts w:eastAsia="Times New Roman" w:cs="Calibri"/>
                <w:b/>
                <w:bCs/>
                <w:color w:val="000000"/>
                <w:lang w:val="es-MX"/>
              </w:rPr>
            </w:pPr>
            <w:r w:rsidRPr="000B038E">
              <w:rPr>
                <w:rFonts w:eastAsia="Times New Roman" w:cs="Calibri"/>
                <w:b/>
                <w:bCs/>
                <w:color w:val="000000"/>
                <w:lang w:val="es-MX"/>
              </w:rPr>
              <w:t>6,521,842,871</w:t>
            </w:r>
          </w:p>
        </w:tc>
        <w:tc>
          <w:tcPr>
            <w:tcW w:w="2552" w:type="dxa"/>
            <w:tcBorders>
              <w:top w:val="single" w:sz="4" w:space="0" w:color="auto"/>
              <w:left w:val="nil"/>
              <w:bottom w:val="double" w:sz="6" w:space="0" w:color="auto"/>
              <w:right w:val="nil"/>
            </w:tcBorders>
            <w:shd w:val="clear" w:color="000000" w:fill="FFFFFF"/>
            <w:noWrap/>
            <w:vAlign w:val="center"/>
            <w:hideMark/>
          </w:tcPr>
          <w:p w:rsidR="000B038E" w:rsidRPr="000B038E" w:rsidRDefault="000B038E" w:rsidP="000B038E">
            <w:pPr>
              <w:jc w:val="right"/>
              <w:rPr>
                <w:rFonts w:eastAsia="Times New Roman" w:cs="Calibri"/>
                <w:b/>
                <w:bCs/>
                <w:color w:val="000000"/>
                <w:lang w:val="es-MX"/>
              </w:rPr>
            </w:pPr>
            <w:r w:rsidRPr="000B038E">
              <w:rPr>
                <w:rFonts w:eastAsia="Times New Roman" w:cs="Calibri"/>
                <w:b/>
                <w:bCs/>
                <w:color w:val="000000"/>
                <w:lang w:val="es-MX"/>
              </w:rPr>
              <w:t>4,661,367,668</w:t>
            </w:r>
          </w:p>
        </w:tc>
      </w:tr>
    </w:tbl>
    <w:p w:rsidR="00AF7634" w:rsidRDefault="0079353E">
      <w:pPr>
        <w:jc w:val="both"/>
        <w:rPr>
          <w:b/>
        </w:rPr>
      </w:pPr>
      <w:r>
        <w:rPr>
          <w:b/>
        </w:rPr>
        <w:lastRenderedPageBreak/>
        <w:t>Notas de Memoria</w:t>
      </w:r>
    </w:p>
    <w:p w:rsidR="00AF7634" w:rsidRDefault="00AF7634">
      <w:pPr>
        <w:jc w:val="both"/>
      </w:pPr>
    </w:p>
    <w:p w:rsidR="00AF7634" w:rsidRDefault="00AF7634">
      <w:pPr>
        <w:jc w:val="both"/>
      </w:pPr>
    </w:p>
    <w:p w:rsidR="00AF7634" w:rsidRDefault="0079353E">
      <w:pPr>
        <w:jc w:val="both"/>
      </w:pPr>
      <w:r>
        <w:t>Las Notas de Memoria de cada uno de entes públicos que conforman el Poder Ejecutivo, Legislativo, Judicial y Órganos Autónomos emanan de las notas de la información presentada por cada uno, mismas que pueden ser consultadas en el respectivo apartado.</w:t>
      </w:r>
    </w:p>
    <w:p w:rsidR="00AF7634" w:rsidRDefault="00AF7634">
      <w:pPr>
        <w:jc w:val="both"/>
        <w:rPr>
          <w:b/>
        </w:rPr>
      </w:pPr>
    </w:p>
    <w:p w:rsidR="00AF7634" w:rsidRDefault="00AF7634">
      <w:pPr>
        <w:jc w:val="both"/>
        <w:rPr>
          <w:b/>
        </w:rPr>
      </w:pPr>
    </w:p>
    <w:p w:rsidR="00AF7634" w:rsidRDefault="0079353E">
      <w:pPr>
        <w:jc w:val="both"/>
      </w:pPr>
      <w:r>
        <w:rPr>
          <w:b/>
        </w:rPr>
        <w:t>Notas de Gestión Administrativa</w:t>
      </w:r>
      <w:r>
        <w:t>.</w:t>
      </w:r>
    </w:p>
    <w:p w:rsidR="00AF7634" w:rsidRDefault="00AF7634">
      <w:pPr>
        <w:jc w:val="both"/>
      </w:pPr>
    </w:p>
    <w:p w:rsidR="00AF7634" w:rsidRDefault="00AF7634">
      <w:pPr>
        <w:jc w:val="both"/>
      </w:pPr>
    </w:p>
    <w:p w:rsidR="00AF7634" w:rsidRDefault="0079353E">
      <w:pPr>
        <w:jc w:val="both"/>
      </w:pPr>
      <w: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rsidR="00AF7634" w:rsidRDefault="00AF7634">
      <w:pPr>
        <w:jc w:val="both"/>
        <w:rPr>
          <w:b/>
        </w:rPr>
      </w:pPr>
    </w:p>
    <w:sectPr w:rsidR="00AF7634">
      <w:headerReference w:type="even" r:id="rId8"/>
      <w:headerReference w:type="default" r:id="rId9"/>
      <w:footerReference w:type="even" r:id="rId10"/>
      <w:footerReference w:type="default" r:id="rId11"/>
      <w:headerReference w:type="first" r:id="rId12"/>
      <w:footerReference w:type="first" r:id="rId13"/>
      <w:pgSz w:w="12240" w:h="15840"/>
      <w:pgMar w:top="2835" w:right="1608" w:bottom="567" w:left="1701" w:header="1985" w:footer="7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2A" w:rsidRDefault="00FC0E2A">
      <w:r>
        <w:separator/>
      </w:r>
    </w:p>
  </w:endnote>
  <w:endnote w:type="continuationSeparator" w:id="0">
    <w:p w:rsidR="00FC0E2A" w:rsidRDefault="00FC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nivia Pro Book">
    <w:altName w:val="Times New Roman"/>
    <w:panose1 w:val="00000000000000000000"/>
    <w:charset w:val="00"/>
    <w:family w:val="modern"/>
    <w:notTrueType/>
    <w:pitch w:val="variable"/>
    <w:sig w:usb0="A00002EF" w:usb1="5000E47B" w:usb2="00000000" w:usb3="00000000" w:csb0="00000097"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2A" w:rsidRDefault="00FC0E2A">
      <w:r>
        <w:separator/>
      </w:r>
    </w:p>
  </w:footnote>
  <w:footnote w:type="continuationSeparator" w:id="0">
    <w:p w:rsidR="00FC0E2A" w:rsidRDefault="00FC0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4" w:rsidRDefault="0079353E">
    <w:r>
      <w:rPr>
        <w:noProof/>
        <w:lang w:val="es-MX"/>
      </w:rPr>
      <w:drawing>
        <wp:anchor distT="0" distB="0" distL="114300" distR="114300" simplePos="0" relativeHeight="251658240" behindDoc="0" locked="0" layoutInCell="1" hidden="0" allowOverlap="1">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7634"/>
    <w:rsid w:val="000B038E"/>
    <w:rsid w:val="000B6AA3"/>
    <w:rsid w:val="0017769A"/>
    <w:rsid w:val="00216AC4"/>
    <w:rsid w:val="00331403"/>
    <w:rsid w:val="00536E2E"/>
    <w:rsid w:val="00620F3A"/>
    <w:rsid w:val="006462B6"/>
    <w:rsid w:val="0079353E"/>
    <w:rsid w:val="007B02C7"/>
    <w:rsid w:val="009E65EF"/>
    <w:rsid w:val="00A7579D"/>
    <w:rsid w:val="00AA3042"/>
    <w:rsid w:val="00AF7634"/>
    <w:rsid w:val="00D732D2"/>
    <w:rsid w:val="00ED00BC"/>
    <w:rsid w:val="00FC0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 w:type="table" w:customStyle="1" w:styleId="af">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1997</Words>
  <Characters>10984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RICARDO PEREZ ANTONIO</cp:lastModifiedBy>
  <cp:revision>11</cp:revision>
  <dcterms:created xsi:type="dcterms:W3CDTF">2022-07-22T15:08:00Z</dcterms:created>
  <dcterms:modified xsi:type="dcterms:W3CDTF">2022-07-28T17:25:00Z</dcterms:modified>
</cp:coreProperties>
</file>