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FC" w:rsidRDefault="00ED70FC" w:rsidP="00B37334">
      <w:pPr>
        <w:spacing w:after="0"/>
        <w:jc w:val="center"/>
        <w:rPr>
          <w:b/>
          <w:sz w:val="20"/>
          <w:szCs w:val="20"/>
        </w:rPr>
      </w:pPr>
    </w:p>
    <w:p w:rsidR="001E6D5F" w:rsidRDefault="00292196" w:rsidP="00B37334">
      <w:pPr>
        <w:spacing w:after="0"/>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Pr="00CE23BE" w:rsidRDefault="00CE23BE" w:rsidP="00B94C50">
      <w:pPr>
        <w:jc w:val="center"/>
        <w:rPr>
          <w:noProof/>
          <w:lang w:eastAsia="es-ES"/>
        </w:rPr>
      </w:pPr>
      <w:r w:rsidRPr="00CE23BE">
        <w:drawing>
          <wp:inline distT="0" distB="0" distL="0" distR="0">
            <wp:extent cx="5971429" cy="349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5181" cy="3499541"/>
                    </a:xfrm>
                    <a:prstGeom prst="rect">
                      <a:avLst/>
                    </a:prstGeom>
                    <a:noFill/>
                    <a:ln>
                      <a:noFill/>
                    </a:ln>
                  </pic:spPr>
                </pic:pic>
              </a:graphicData>
            </a:graphic>
          </wp:inline>
        </w:drawing>
      </w:r>
    </w:p>
    <w:p w:rsidR="00B37334" w:rsidRDefault="00B37334" w:rsidP="00B37334">
      <w:pPr>
        <w:spacing w:after="0"/>
        <w:jc w:val="center"/>
        <w:rPr>
          <w:noProof/>
          <w:lang w:eastAsia="es-ES"/>
        </w:rPr>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373628" w:rsidRDefault="00373628" w:rsidP="00373628">
      <w:pPr>
        <w:pStyle w:val="Prrafodelista"/>
        <w:ind w:left="284"/>
        <w:jc w:val="both"/>
      </w:pPr>
    </w:p>
    <w:p w:rsidR="001D4445" w:rsidRDefault="00E65C61" w:rsidP="00FC7357">
      <w:pPr>
        <w:pStyle w:val="Prrafodelista"/>
        <w:ind w:left="284"/>
        <w:jc w:val="center"/>
      </w:pPr>
      <w:r w:rsidRPr="00E65C61">
        <w:drawing>
          <wp:inline distT="0" distB="0" distL="0" distR="0">
            <wp:extent cx="3907328" cy="34906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041" cy="3496620"/>
                    </a:xfrm>
                    <a:prstGeom prst="rect">
                      <a:avLst/>
                    </a:prstGeom>
                    <a:noFill/>
                    <a:ln>
                      <a:noFill/>
                    </a:ln>
                  </pic:spPr>
                </pic:pic>
              </a:graphicData>
            </a:graphic>
          </wp:inline>
        </w:drawing>
      </w:r>
    </w:p>
    <w:p w:rsidR="00ED70FC" w:rsidRDefault="00ED70FC" w:rsidP="00075466">
      <w:pPr>
        <w:pStyle w:val="Prrafodelista"/>
        <w:ind w:left="284"/>
        <w:jc w:val="both"/>
      </w:pPr>
    </w:p>
    <w:p w:rsidR="00E65C61" w:rsidRDefault="00E65C61" w:rsidP="00075466">
      <w:pPr>
        <w:pStyle w:val="Prrafodelista"/>
        <w:ind w:left="284"/>
        <w:jc w:val="both"/>
      </w:pPr>
    </w:p>
    <w:p w:rsidR="00B37334" w:rsidRDefault="004B4587" w:rsidP="00ED70FC">
      <w:pPr>
        <w:pStyle w:val="Prrafodelista"/>
        <w:numPr>
          <w:ilvl w:val="0"/>
          <w:numId w:val="2"/>
        </w:numPr>
        <w:ind w:left="284" w:firstLine="0"/>
        <w:jc w:val="both"/>
      </w:pPr>
      <w:r>
        <w:t xml:space="preserve">Se presenta comparativo de la relación deuda pública bruta </w:t>
      </w:r>
      <w:bookmarkStart w:id="0" w:name="_GoBack"/>
      <w:bookmarkEnd w:id="0"/>
      <w:r w:rsidR="0091556A">
        <w:t>total con</w:t>
      </w:r>
      <w:r>
        <w:t xml:space="preserve">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E65C61">
        <w:t>diciembre 2018</w:t>
      </w:r>
      <w:r>
        <w:t xml:space="preserve">, representa el </w:t>
      </w:r>
      <w:r w:rsidR="00CE23BE">
        <w:t>4.18</w:t>
      </w:r>
      <w:r>
        <w:t>% del PIBE.</w:t>
      </w:r>
    </w:p>
    <w:p w:rsidR="00B37334" w:rsidRDefault="00CE23BE" w:rsidP="00FC7357">
      <w:pPr>
        <w:jc w:val="center"/>
      </w:pPr>
      <w:r w:rsidRPr="00CE23BE">
        <w:drawing>
          <wp:inline distT="0" distB="0" distL="0" distR="0">
            <wp:extent cx="5629275" cy="23456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345690"/>
                    </a:xfrm>
                    <a:prstGeom prst="rect">
                      <a:avLst/>
                    </a:prstGeom>
                    <a:noFill/>
                    <a:ln>
                      <a:noFill/>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E65C61">
        <w:t>diciembre</w:t>
      </w:r>
      <w:r w:rsidR="00DF1023">
        <w:t xml:space="preserve"> de</w:t>
      </w:r>
      <w:r>
        <w:t xml:space="preserve"> 201</w:t>
      </w:r>
      <w:r w:rsidR="00B37334">
        <w:t>8</w:t>
      </w:r>
      <w:r>
        <w:t xml:space="preserve">, el saldo de la deuda pública representa </w:t>
      </w:r>
      <w:r w:rsidR="00E65C61">
        <w:t>el 173.21</w:t>
      </w:r>
      <w:r w:rsidRPr="00AE6550">
        <w:t xml:space="preserve"> %</w:t>
      </w:r>
      <w:r>
        <w:t xml:space="preserve"> </w:t>
      </w:r>
      <w:r w:rsidR="00B37334">
        <w:t>respecto a</w:t>
      </w:r>
      <w:r>
        <w:t xml:space="preserve"> los ingresos de gestión.</w:t>
      </w:r>
    </w:p>
    <w:p w:rsidR="001D4445" w:rsidRDefault="001D4445" w:rsidP="001D4445">
      <w:pPr>
        <w:pStyle w:val="Prrafodelista"/>
      </w:pPr>
    </w:p>
    <w:p w:rsidR="00292196" w:rsidRDefault="00E65C61" w:rsidP="00047D00">
      <w:pPr>
        <w:pStyle w:val="Prrafodelista"/>
        <w:jc w:val="center"/>
      </w:pPr>
      <w:r w:rsidRPr="00E65C61">
        <w:drawing>
          <wp:inline distT="0" distB="0" distL="0" distR="0">
            <wp:extent cx="3808730" cy="240919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8730" cy="2409190"/>
                    </a:xfrm>
                    <a:prstGeom prst="rect">
                      <a:avLst/>
                    </a:prstGeom>
                    <a:noFill/>
                    <a:ln>
                      <a:noFill/>
                    </a:ln>
                  </pic:spPr>
                </pic:pic>
              </a:graphicData>
            </a:graphic>
          </wp:inline>
        </w:drawing>
      </w:r>
    </w:p>
    <w:sectPr w:rsidR="00292196" w:rsidSect="00ED70FC">
      <w:headerReference w:type="default" r:id="rId12"/>
      <w:pgSz w:w="11906" w:h="16838"/>
      <w:pgMar w:top="1381" w:right="851" w:bottom="1134" w:left="85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C" w:rsidRDefault="000F04BC" w:rsidP="001D4445">
      <w:pPr>
        <w:spacing w:after="0" w:line="240" w:lineRule="auto"/>
      </w:pPr>
      <w:r>
        <w:separator/>
      </w:r>
    </w:p>
  </w:endnote>
  <w:endnote w:type="continuationSeparator" w:id="0">
    <w:p w:rsidR="000F04BC" w:rsidRDefault="000F04BC" w:rsidP="001D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C" w:rsidRDefault="000F04BC" w:rsidP="001D4445">
      <w:pPr>
        <w:spacing w:after="0" w:line="240" w:lineRule="auto"/>
      </w:pPr>
      <w:r>
        <w:separator/>
      </w:r>
    </w:p>
  </w:footnote>
  <w:footnote w:type="continuationSeparator" w:id="0">
    <w:p w:rsidR="000F04BC" w:rsidRDefault="000F04BC" w:rsidP="001D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45" w:rsidRPr="002F4B61" w:rsidRDefault="004A77C4" w:rsidP="002F4B61">
    <w:pPr>
      <w:pStyle w:val="Encabezado"/>
    </w:pPr>
    <w:r>
      <w:rPr>
        <w:noProof/>
      </w:rPr>
      <w:pict>
        <v:shapetype id="_x0000_t202" coordsize="21600,21600" o:spt="202" path="m,l,21600r21600,l21600,xe">
          <v:stroke joinstyle="miter"/>
          <v:path gradientshapeok="t" o:connecttype="rect"/>
        </v:shapetype>
        <v:shape id="_x0000_s24579" type="#_x0000_t202" style="position:absolute;margin-left:105.95pt;margin-top:-17.25pt;width:266.7pt;height:38.8pt;z-index:251660288;mso-width-relative:margin;mso-height-relative:margin" stroked="f">
          <v:textbox style="mso-next-textbox:#_x0000_s24579">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w:r>
    <w:r>
      <w:rPr>
        <w:noProof/>
      </w:rPr>
      <w:pict>
        <v:shape id="_x0000_s24581" type="#_x0000_t202" style="position:absolute;margin-left:-26.7pt;margin-top:-52.25pt;width:99.95pt;height:79.2pt;z-index:251664384;mso-width-relative:margin;mso-height-relative:margin" stroked="f">
          <v:textbox>
            <w:txbxContent>
              <w:p w:rsidR="002F4B61" w:rsidRDefault="002F4B61">
                <w:r w:rsidRPr="002F4B61">
                  <w:rPr>
                    <w:noProof/>
                    <w:lang w:val="es-MX" w:eastAsia="es-MX"/>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pic:spPr>
                          </pic:pic>
                        </a:graphicData>
                      </a:graphic>
                    </wp:inline>
                  </w:drawing>
                </w:r>
              </w:p>
            </w:txbxContent>
          </v:textbox>
        </v:shape>
      </w:pict>
    </w:r>
    <w:r>
      <w:rPr>
        <w:noProof/>
      </w:rPr>
      <w:pict>
        <v:shape id="_x0000_s24580" type="#_x0000_t202" style="position:absolute;margin-left:363.05pt;margin-top:-30.05pt;width:162.6pt;height:70.2pt;z-index:251662336;mso-width-relative:margin;mso-height-relative:margin" stroked="f">
          <v:textbox>
            <w:txbxContent>
              <w:p w:rsidR="002F4B61" w:rsidRDefault="002F4B61"/>
            </w:txbxContent>
          </v:textbox>
        </v:shape>
      </w:pict>
    </w:r>
    <w:r>
      <w:rPr>
        <w:noProof/>
        <w:lang w:eastAsia="es-ES"/>
      </w:rPr>
      <w:pict>
        <v:shapetype id="_x0000_t32" coordsize="21600,21600" o:spt="32" o:oned="t" path="m,l21600,21600e" filled="f">
          <v:path arrowok="t" fillok="f" o:connecttype="none"/>
          <o:lock v:ext="edit" shapetype="t"/>
        </v:shapetype>
        <v:shape id="_x0000_s24582" type="#_x0000_t32" style="position:absolute;margin-left:4.85pt;margin-top:24.55pt;width:505.8pt;height:.05pt;z-index:251665408" o:connectortype="straight" strokecolor="#943634 [2405]" strokeweight="2.25p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4584"/>
    <o:shapelayout v:ext="edit">
      <o:idmap v:ext="edit" data="24"/>
      <o:rules v:ext="edit">
        <o:r id="V:Rule2" type="connector" idref="#_x0000_s24582"/>
      </o:rules>
    </o:shapelayout>
  </w:hdrShapeDefaults>
  <w:footnotePr>
    <w:footnote w:id="-1"/>
    <w:footnote w:id="0"/>
  </w:footnotePr>
  <w:endnotePr>
    <w:endnote w:id="-1"/>
    <w:endnote w:id="0"/>
  </w:endnotePr>
  <w:compat>
    <w:compatSetting w:name="compatibilityMode" w:uri="http://schemas.microsoft.com/office/word" w:val="12"/>
  </w:compat>
  <w:rsids>
    <w:rsidRoot w:val="00945E0D"/>
    <w:rsid w:val="00025E68"/>
    <w:rsid w:val="00036A12"/>
    <w:rsid w:val="000426D5"/>
    <w:rsid w:val="00047D00"/>
    <w:rsid w:val="0006409E"/>
    <w:rsid w:val="0007191B"/>
    <w:rsid w:val="00075466"/>
    <w:rsid w:val="00075E6D"/>
    <w:rsid w:val="00087A99"/>
    <w:rsid w:val="0009098D"/>
    <w:rsid w:val="000A1246"/>
    <w:rsid w:val="000A7F44"/>
    <w:rsid w:val="000D3C87"/>
    <w:rsid w:val="000E315B"/>
    <w:rsid w:val="000F04BC"/>
    <w:rsid w:val="000F46D6"/>
    <w:rsid w:val="001068C4"/>
    <w:rsid w:val="00143814"/>
    <w:rsid w:val="001556A0"/>
    <w:rsid w:val="0015593B"/>
    <w:rsid w:val="00170FF3"/>
    <w:rsid w:val="001B21E5"/>
    <w:rsid w:val="001D20A6"/>
    <w:rsid w:val="001D4445"/>
    <w:rsid w:val="001E6D5F"/>
    <w:rsid w:val="001F345E"/>
    <w:rsid w:val="00232531"/>
    <w:rsid w:val="00244A8B"/>
    <w:rsid w:val="00256F6C"/>
    <w:rsid w:val="00280627"/>
    <w:rsid w:val="00292196"/>
    <w:rsid w:val="002C148D"/>
    <w:rsid w:val="002C1B07"/>
    <w:rsid w:val="002C324B"/>
    <w:rsid w:val="002E238C"/>
    <w:rsid w:val="002F1B4C"/>
    <w:rsid w:val="002F4B61"/>
    <w:rsid w:val="0031147E"/>
    <w:rsid w:val="00363CAC"/>
    <w:rsid w:val="00373628"/>
    <w:rsid w:val="003873C6"/>
    <w:rsid w:val="003C57EE"/>
    <w:rsid w:val="00402906"/>
    <w:rsid w:val="00405BEE"/>
    <w:rsid w:val="00411B8B"/>
    <w:rsid w:val="00422900"/>
    <w:rsid w:val="00442BF9"/>
    <w:rsid w:val="0049004E"/>
    <w:rsid w:val="004A2E77"/>
    <w:rsid w:val="004B14A0"/>
    <w:rsid w:val="004B34F1"/>
    <w:rsid w:val="004B4587"/>
    <w:rsid w:val="004C410D"/>
    <w:rsid w:val="004F4D06"/>
    <w:rsid w:val="00520825"/>
    <w:rsid w:val="00544CED"/>
    <w:rsid w:val="00545DC0"/>
    <w:rsid w:val="00551B03"/>
    <w:rsid w:val="005A6029"/>
    <w:rsid w:val="005C0063"/>
    <w:rsid w:val="005C2132"/>
    <w:rsid w:val="005D5E18"/>
    <w:rsid w:val="005D6B68"/>
    <w:rsid w:val="005F049B"/>
    <w:rsid w:val="0060301B"/>
    <w:rsid w:val="00616175"/>
    <w:rsid w:val="00622736"/>
    <w:rsid w:val="006260AA"/>
    <w:rsid w:val="00644049"/>
    <w:rsid w:val="00657F81"/>
    <w:rsid w:val="006627B7"/>
    <w:rsid w:val="006633D4"/>
    <w:rsid w:val="006A3B5A"/>
    <w:rsid w:val="006C1C2A"/>
    <w:rsid w:val="006F7E9C"/>
    <w:rsid w:val="00721C8A"/>
    <w:rsid w:val="007261A1"/>
    <w:rsid w:val="0074298E"/>
    <w:rsid w:val="00797627"/>
    <w:rsid w:val="007C4B03"/>
    <w:rsid w:val="007E0D66"/>
    <w:rsid w:val="00810AD2"/>
    <w:rsid w:val="00841E3B"/>
    <w:rsid w:val="00843BBA"/>
    <w:rsid w:val="00851B79"/>
    <w:rsid w:val="008743D4"/>
    <w:rsid w:val="00877EC4"/>
    <w:rsid w:val="00894F7D"/>
    <w:rsid w:val="008A18D5"/>
    <w:rsid w:val="008A729B"/>
    <w:rsid w:val="008D30F5"/>
    <w:rsid w:val="00902D19"/>
    <w:rsid w:val="0091556A"/>
    <w:rsid w:val="0094197B"/>
    <w:rsid w:val="00945E0D"/>
    <w:rsid w:val="009552AD"/>
    <w:rsid w:val="00955A61"/>
    <w:rsid w:val="0095730F"/>
    <w:rsid w:val="009804EA"/>
    <w:rsid w:val="00982A9F"/>
    <w:rsid w:val="00990507"/>
    <w:rsid w:val="009A0793"/>
    <w:rsid w:val="009A468A"/>
    <w:rsid w:val="00A179F7"/>
    <w:rsid w:val="00A72342"/>
    <w:rsid w:val="00A807E2"/>
    <w:rsid w:val="00A816E8"/>
    <w:rsid w:val="00A919D5"/>
    <w:rsid w:val="00A95000"/>
    <w:rsid w:val="00AA38B7"/>
    <w:rsid w:val="00AC0CBD"/>
    <w:rsid w:val="00AC53F1"/>
    <w:rsid w:val="00AE6550"/>
    <w:rsid w:val="00B07812"/>
    <w:rsid w:val="00B138A1"/>
    <w:rsid w:val="00B15B26"/>
    <w:rsid w:val="00B31D0C"/>
    <w:rsid w:val="00B37334"/>
    <w:rsid w:val="00B41F1D"/>
    <w:rsid w:val="00B475ED"/>
    <w:rsid w:val="00B56AD6"/>
    <w:rsid w:val="00B94C50"/>
    <w:rsid w:val="00BB4FCB"/>
    <w:rsid w:val="00BC701F"/>
    <w:rsid w:val="00BE5AA6"/>
    <w:rsid w:val="00BE6C0D"/>
    <w:rsid w:val="00BF4560"/>
    <w:rsid w:val="00C36CE0"/>
    <w:rsid w:val="00C50752"/>
    <w:rsid w:val="00C54F45"/>
    <w:rsid w:val="00C65F1E"/>
    <w:rsid w:val="00C72411"/>
    <w:rsid w:val="00C96426"/>
    <w:rsid w:val="00CC7930"/>
    <w:rsid w:val="00CE23BE"/>
    <w:rsid w:val="00D105EB"/>
    <w:rsid w:val="00D11201"/>
    <w:rsid w:val="00D116A6"/>
    <w:rsid w:val="00D22384"/>
    <w:rsid w:val="00D327FE"/>
    <w:rsid w:val="00D34548"/>
    <w:rsid w:val="00D67815"/>
    <w:rsid w:val="00D73B5E"/>
    <w:rsid w:val="00D871A7"/>
    <w:rsid w:val="00D91D23"/>
    <w:rsid w:val="00D93A7D"/>
    <w:rsid w:val="00DC40FB"/>
    <w:rsid w:val="00DD1AC1"/>
    <w:rsid w:val="00DE094B"/>
    <w:rsid w:val="00DF1023"/>
    <w:rsid w:val="00DF5C6B"/>
    <w:rsid w:val="00E140D0"/>
    <w:rsid w:val="00E17861"/>
    <w:rsid w:val="00E45652"/>
    <w:rsid w:val="00E52D25"/>
    <w:rsid w:val="00E65C61"/>
    <w:rsid w:val="00E769BE"/>
    <w:rsid w:val="00E87853"/>
    <w:rsid w:val="00ED70FC"/>
    <w:rsid w:val="00EF3670"/>
    <w:rsid w:val="00F372C1"/>
    <w:rsid w:val="00F84C05"/>
    <w:rsid w:val="00FA337B"/>
    <w:rsid w:val="00FA4948"/>
    <w:rsid w:val="00FB4F91"/>
    <w:rsid w:val="00FC73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14:docId w14:val="1AE83214"/>
  <w15:docId w15:val="{926531EC-56ED-4BCE-81A5-BD023035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8BC89-DDEE-4D4F-84C4-D423574B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204</Words>
  <Characters>1126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subject/>
  <dc:creator>Mireya Lopez Lopez</dc:creator>
  <cp:keywords/>
  <dc:description/>
  <cp:lastModifiedBy>Mireya Lopez Lopez</cp:lastModifiedBy>
  <cp:revision>14</cp:revision>
  <cp:lastPrinted>2019-01-26T01:31:00Z</cp:lastPrinted>
  <dcterms:created xsi:type="dcterms:W3CDTF">2018-10-24T21:21:00Z</dcterms:created>
  <dcterms:modified xsi:type="dcterms:W3CDTF">2019-01-26T01:31:00Z</dcterms:modified>
</cp:coreProperties>
</file>