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23" w:rsidRPr="007D33DC" w:rsidRDefault="000A0023" w:rsidP="00A4792B">
      <w:pPr>
        <w:tabs>
          <w:tab w:val="left" w:pos="1276"/>
          <w:tab w:val="center" w:pos="4419"/>
          <w:tab w:val="left" w:pos="4954"/>
        </w:tabs>
        <w:autoSpaceDE w:val="0"/>
        <w:autoSpaceDN w:val="0"/>
        <w:adjustRightInd w:val="0"/>
        <w:spacing w:before="120" w:after="120"/>
        <w:ind w:left="426" w:hanging="426"/>
        <w:jc w:val="center"/>
        <w:rPr>
          <w:rFonts w:cstheme="minorHAnsi"/>
          <w:b/>
        </w:rPr>
      </w:pPr>
      <w:r w:rsidRPr="007D33DC">
        <w:rPr>
          <w:rFonts w:cstheme="minorHAnsi"/>
          <w:b/>
        </w:rPr>
        <w:t>NORMA PARA LA DIFUSIÓN A LA CIUDADANÍA DE LA LEY DE INGRESOS Y DEL PRESUPUESTO DE EGRESOS.</w:t>
      </w:r>
    </w:p>
    <w:p w:rsidR="000A0023" w:rsidRPr="007D33DC" w:rsidRDefault="000A0023" w:rsidP="007D33DC">
      <w:pPr>
        <w:pStyle w:val="Prrafodelista"/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cstheme="minorHAnsi"/>
          <w:bCs/>
        </w:rPr>
      </w:pPr>
      <w:r w:rsidRPr="007D33DC">
        <w:rPr>
          <w:rFonts w:cstheme="minorHAnsi"/>
          <w:bCs/>
        </w:rPr>
        <w:t>En apego al artículo 62 de la Ley General de Contabilidad Gubernamental, los entes públicos elaborarán y difundirán en sus respectivas páginas de Internet documentos dirigidos a la ciudadanía que expliquen, de manera sencilla y en formatos accesibles la Ley de Ingresos y el Presupuesto de Egresos.</w:t>
      </w:r>
    </w:p>
    <w:p w:rsidR="007D33DC" w:rsidRPr="007D33DC" w:rsidRDefault="007D33DC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b/>
        </w:rPr>
      </w:pPr>
    </w:p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b/>
        </w:rPr>
      </w:pPr>
      <w:r w:rsidRPr="007D33DC">
        <w:rPr>
          <w:rFonts w:cstheme="minorHAnsi"/>
          <w:b/>
        </w:rPr>
        <w:t>Estructura y contenido</w:t>
      </w:r>
    </w:p>
    <w:p w:rsidR="000A0023" w:rsidRPr="007D33DC" w:rsidRDefault="000A0023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  <w:bookmarkStart w:id="0" w:name="_GoBack"/>
      <w:bookmarkEnd w:id="0"/>
    </w:p>
    <w:p w:rsidR="007D33DC" w:rsidRPr="007D33DC" w:rsidRDefault="007D33DC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4347"/>
        <w:gridCol w:w="5150"/>
      </w:tblGrid>
      <w:tr w:rsidR="000A0023" w:rsidRPr="00A4792B" w:rsidTr="0065709E">
        <w:tc>
          <w:tcPr>
            <w:tcW w:w="4748" w:type="dxa"/>
            <w:shd w:val="clear" w:color="auto" w:fill="D99594" w:themeFill="accent2" w:themeFillTint="99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theme="minorHAnsi"/>
                <w:bCs/>
                <w:i/>
              </w:rPr>
            </w:pPr>
            <w:r w:rsidRPr="00A4792B">
              <w:rPr>
                <w:rFonts w:cstheme="minorHAnsi"/>
                <w:bCs/>
                <w:i/>
              </w:rPr>
              <w:t>Preguntas / apartados</w:t>
            </w:r>
          </w:p>
        </w:tc>
        <w:tc>
          <w:tcPr>
            <w:tcW w:w="4749" w:type="dxa"/>
            <w:shd w:val="clear" w:color="auto" w:fill="D99594" w:themeFill="accent2" w:themeFillTint="99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theme="minorHAnsi"/>
                <w:bCs/>
                <w:i/>
              </w:rPr>
            </w:pPr>
            <w:r w:rsidRPr="00A4792B">
              <w:rPr>
                <w:rFonts w:cstheme="minorHAnsi"/>
                <w:bCs/>
                <w:i/>
              </w:rPr>
              <w:t>Consideraciones</w:t>
            </w: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es la Ley de Ingresos y Cuál es su importancia?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Documento jurídico aprobado por el H. Congreso del Estado a iniciativa del C. Gobernador, en el cual se consigna el importe del Ingreso de acuerdo con su naturaleza y cuantía, que debe captar el gobierno estatal en el desempeño de sus funciones en cada ejercicio fiscal. 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¿De dónde obtienen los gobiernos sus ingresos?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El Estado obtendrá los ingresos para financiar sus gastos de las siguientes fuentes:</w:t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Impuestos.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Derechos.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Productos.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Aprovechamientos.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Contribuciones no comprendidas en las fracciones de la Ley de Ingresos causados en ejercicios fiscales anteriores pendientes de liquidación o pago.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Participaciones, aportaciones, transferencias, asignaciones, subsidios y otras ayudas.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Otros ingresos.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es el Presupuesto de Egresos y cuál es su importancia?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Documento jurídico aprobado por el H. Congreso del Estado a iniciativa del C. Gobernador, en el cual se consigna el gasto público de acuerdo con su naturaleza y cuantía, que debe realizar el gobierno estatal en el desempeño de sus funciones en cada ejercicio fiscal. </w:t>
            </w:r>
          </w:p>
          <w:p w:rsidR="007D33DC" w:rsidRPr="00A4792B" w:rsidRDefault="007D33DC" w:rsidP="007D33DC"/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En el presupuesto de Egresos se encuentra integrado en base a los diferentes clasificadores de gasto: Clasificador de Tipo y Objeto del Gasto; al Clasificador Funcional; al Clasificador Programático; Clasificador  de Claves de Financiamiento; Clasificador </w:t>
            </w:r>
            <w:r w:rsidRPr="00A4792B">
              <w:rPr>
                <w:rFonts w:cs="Arial"/>
              </w:rPr>
              <w:lastRenderedPageBreak/>
              <w:t>Administrativo; y, a las demás disposiciones que al efecto emita la Secretaría de Finanzas. Lo anterior para tener un control eficiente y eficaz del gasto, teniendo como resultado este Documento el cual permite controlar, ejercer, analizar y evaluar el ejercicio de los recursos públicos, a fin de rendir cuentas de los mismos a la ciudadanía y que se cumplan los objetivos y metas plasmados en el Plan Estatal de Desarrollo 2017-2022.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lastRenderedPageBreak/>
              <w:t>¿En qué se gasta?</w:t>
            </w:r>
          </w:p>
        </w:tc>
        <w:tc>
          <w:tcPr>
            <w:tcW w:w="4749" w:type="dxa"/>
            <w:tcBorders>
              <w:bottom w:val="nil"/>
            </w:tcBorders>
          </w:tcPr>
          <w:p w:rsidR="007D33DC" w:rsidRPr="00A4792B" w:rsidRDefault="007D33DC" w:rsidP="007D33DC">
            <w:pPr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En hacer frente a las obligaciones del Estado con los trabajadores en todas las modalidades contractuales; gastos para la adquisición de materiales y suministros; servicios básicos: energía eléctrica, teléfono, agua potable, mantenimiento de equipo de transporte y maquinaria, aseguramiento de bienes patrimoniales, arrendamiento de inmuebles y arrendamiento de edificios públicos, que hace posible a los ejecutores de gasto; en inversión pública; pago de obligaciones de los procesos de bursatilización; y, disminución de la deuda pública. 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C634AB">
        <w:trPr>
          <w:trHeight w:val="64"/>
        </w:trPr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¿Para qué se gasta?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La Administración Pública Estatal  destina recursos para mejorar los índices de desarrollo social en el Estado invirtiendo en educación, salud, nutrición e infraestructura principalmente, focalizando las acciones en grupos vulnerables, basándonos en la estructura programática la cual está basada en el PED nuestro documento rector y en la Clasificación Funcional.</w:t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pueden hacer los ciudadanos?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Los ciudadanos pueden acceder a la información referente a la Ley de Ingresos y el Presupuesto de Egresos dentro de los portales de la Secretaría de Finanzas, Contraloría, Periódico Oficial del Estado.</w:t>
            </w:r>
          </w:p>
          <w:p w:rsidR="007D33DC" w:rsidRPr="00A4792B" w:rsidRDefault="007D33DC" w:rsidP="007D33DC">
            <w:pPr>
              <w:tabs>
                <w:tab w:val="left" w:pos="493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ab/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</w:tbl>
    <w:p w:rsidR="000A0023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Pr="007D33DC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  <w:r w:rsidRPr="007D33DC">
        <w:rPr>
          <w:rFonts w:cstheme="minorHAnsi"/>
        </w:rPr>
        <w:t>Ejemplo en cuanto a los ingresos:</w:t>
      </w:r>
      <w:r w:rsidR="00357F84">
        <w:rPr>
          <w:rFonts w:cstheme="minorHAnsi"/>
        </w:rPr>
        <w:t xml:space="preserve"> </w:t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  <w:t xml:space="preserve">        (pesos)</w:t>
      </w:r>
    </w:p>
    <w:tbl>
      <w:tblPr>
        <w:tblStyle w:val="Tablaconcuadrcula"/>
        <w:tblW w:w="96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29"/>
        <w:gridCol w:w="2406"/>
      </w:tblGrid>
      <w:tr w:rsidR="000A0023" w:rsidRPr="00A4792B" w:rsidTr="00C634AB">
        <w:trPr>
          <w:trHeight w:val="265"/>
        </w:trPr>
        <w:tc>
          <w:tcPr>
            <w:tcW w:w="7229" w:type="dxa"/>
            <w:vAlign w:val="center"/>
          </w:tcPr>
          <w:p w:rsidR="000A0023" w:rsidRPr="00A4792B" w:rsidRDefault="000A0023" w:rsidP="00C634AB">
            <w:pPr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 xml:space="preserve">Origen de los Ingresos </w:t>
            </w:r>
          </w:p>
        </w:tc>
        <w:tc>
          <w:tcPr>
            <w:tcW w:w="2406" w:type="dxa"/>
            <w:vAlign w:val="center"/>
          </w:tcPr>
          <w:p w:rsidR="000A0023" w:rsidRPr="00A4792B" w:rsidRDefault="000A0023" w:rsidP="00C634AB">
            <w:pPr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Importe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Total</w:t>
            </w:r>
          </w:p>
        </w:tc>
        <w:tc>
          <w:tcPr>
            <w:tcW w:w="2406" w:type="dxa"/>
          </w:tcPr>
          <w:p w:rsidR="000A0023" w:rsidRPr="00A4792B" w:rsidRDefault="007D33DC" w:rsidP="007D33DC">
            <w:pPr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$62,219,484,765.00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Impuestos</w:t>
            </w:r>
          </w:p>
        </w:tc>
        <w:tc>
          <w:tcPr>
            <w:tcW w:w="2406" w:type="dxa"/>
          </w:tcPr>
          <w:p w:rsidR="000A0023" w:rsidRPr="00A4792B" w:rsidRDefault="007D33DC" w:rsidP="007D33DC">
            <w:pPr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</w:t>
            </w:r>
            <w:r w:rsidR="00357F84" w:rsidRPr="00A4792B">
              <w:rPr>
                <w:rFonts w:cstheme="minorHAnsi"/>
                <w:bCs/>
              </w:rPr>
              <w:t>1,034,364,525.00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Cuotas y Aportaciones de seguridad social</w:t>
            </w:r>
          </w:p>
        </w:tc>
        <w:tc>
          <w:tcPr>
            <w:tcW w:w="2406" w:type="dxa"/>
          </w:tcPr>
          <w:p w:rsidR="000A0023" w:rsidRPr="00A4792B" w:rsidRDefault="00357F84" w:rsidP="007D33DC">
            <w:pPr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Contribuciones de mejoras</w:t>
            </w:r>
          </w:p>
        </w:tc>
        <w:tc>
          <w:tcPr>
            <w:tcW w:w="2406" w:type="dxa"/>
          </w:tcPr>
          <w:p w:rsidR="000A0023" w:rsidRPr="00A4792B" w:rsidRDefault="00357F84" w:rsidP="007D33DC">
            <w:pPr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Derechos</w:t>
            </w:r>
          </w:p>
        </w:tc>
        <w:tc>
          <w:tcPr>
            <w:tcW w:w="2406" w:type="dxa"/>
          </w:tcPr>
          <w:p w:rsidR="000A0023" w:rsidRPr="00A4792B" w:rsidRDefault="00357F84" w:rsidP="007D33DC">
            <w:pPr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$1,179,006,265.00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Productos</w:t>
            </w:r>
          </w:p>
        </w:tc>
        <w:tc>
          <w:tcPr>
            <w:tcW w:w="2406" w:type="dxa"/>
          </w:tcPr>
          <w:p w:rsidR="000A0023" w:rsidRPr="00A4792B" w:rsidRDefault="00357F84" w:rsidP="007D33DC">
            <w:pPr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$36,562,245.00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Aprovechamientos</w:t>
            </w:r>
          </w:p>
        </w:tc>
        <w:tc>
          <w:tcPr>
            <w:tcW w:w="2406" w:type="dxa"/>
          </w:tcPr>
          <w:p w:rsidR="000A0023" w:rsidRPr="00A4792B" w:rsidRDefault="00357F84" w:rsidP="007D33DC">
            <w:pPr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$870,119,096.00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Ingresos por ventas de bienes y servicios</w:t>
            </w:r>
          </w:p>
        </w:tc>
        <w:tc>
          <w:tcPr>
            <w:tcW w:w="2406" w:type="dxa"/>
          </w:tcPr>
          <w:p w:rsidR="000A0023" w:rsidRPr="00A4792B" w:rsidRDefault="00357F84" w:rsidP="007D33DC">
            <w:pPr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Participaciones y Aportaciones</w:t>
            </w:r>
          </w:p>
        </w:tc>
        <w:tc>
          <w:tcPr>
            <w:tcW w:w="2406" w:type="dxa"/>
          </w:tcPr>
          <w:p w:rsidR="000A0023" w:rsidRPr="00A4792B" w:rsidRDefault="00357F84" w:rsidP="007D33DC">
            <w:pPr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$56,966,965,090.00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Transferencias, Asignaciones, Subsidios y Otras Ayudas</w:t>
            </w:r>
          </w:p>
        </w:tc>
        <w:tc>
          <w:tcPr>
            <w:tcW w:w="2406" w:type="dxa"/>
          </w:tcPr>
          <w:p w:rsidR="000A0023" w:rsidRPr="00A4792B" w:rsidRDefault="0085737B" w:rsidP="007D33DC">
            <w:pPr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$2,130,778,269.00</w:t>
            </w:r>
          </w:p>
        </w:tc>
      </w:tr>
    </w:tbl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  <w:r w:rsidRPr="007D33DC">
        <w:rPr>
          <w:rFonts w:cstheme="minorHAnsi"/>
        </w:rPr>
        <w:t>Ejemplo en cuanto a los egresos:</w:t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  <w:t xml:space="preserve">        (pesos)</w:t>
      </w:r>
    </w:p>
    <w:p w:rsidR="000A0023" w:rsidRPr="007D33DC" w:rsidRDefault="000A0023" w:rsidP="000A0023">
      <w:pPr>
        <w:spacing w:before="120" w:after="0" w:line="240" w:lineRule="auto"/>
        <w:contextualSpacing/>
        <w:jc w:val="both"/>
      </w:pP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0A0023" w:rsidRPr="00A4792B" w:rsidTr="0065709E">
        <w:trPr>
          <w:trHeight w:val="6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¿En qué se gasta?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  <w:r w:rsidRPr="00A4792B">
              <w:rPr>
                <w:rFonts w:cstheme="minorHAnsi"/>
                <w:bCs/>
              </w:rPr>
              <w:t>Importe</w:t>
            </w:r>
          </w:p>
        </w:tc>
      </w:tr>
      <w:tr w:rsidR="000A0023" w:rsidRPr="00A4792B" w:rsidTr="0065709E">
        <w:trPr>
          <w:trHeight w:val="6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65709E">
        <w:trPr>
          <w:trHeight w:val="99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65709E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$62,219,484,765.00</w:t>
            </w:r>
          </w:p>
        </w:tc>
      </w:tr>
      <w:tr w:rsidR="000A0023" w:rsidRPr="00A4792B" w:rsidTr="0065709E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Servicios Personales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709E" w:rsidRPr="00A4792B" w:rsidRDefault="0065709E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$4,372,968,106.00</w:t>
            </w:r>
          </w:p>
        </w:tc>
      </w:tr>
      <w:tr w:rsidR="000A0023" w:rsidRPr="00A4792B" w:rsidTr="0065709E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Materiales y Suministros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65709E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$272,477,337.66</w:t>
            </w:r>
          </w:p>
        </w:tc>
      </w:tr>
      <w:tr w:rsidR="000A0023" w:rsidRPr="00A4792B" w:rsidTr="0065709E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Servicios Generales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65709E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$1,792,133,071.84</w:t>
            </w:r>
          </w:p>
        </w:tc>
      </w:tr>
      <w:tr w:rsidR="000A0023" w:rsidRPr="00A4792B" w:rsidTr="0065709E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Transferencias, Asignaciones, Subsidios y Otras Ayudas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65709E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$37,002,823,692.80</w:t>
            </w:r>
          </w:p>
        </w:tc>
      </w:tr>
      <w:tr w:rsidR="000A0023" w:rsidRPr="00A4792B" w:rsidTr="0065709E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Bienes Muebles, Inmuebles e Intangibles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65709E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$72,871,827.70</w:t>
            </w:r>
          </w:p>
        </w:tc>
      </w:tr>
      <w:tr w:rsidR="000A0023" w:rsidRPr="00A4792B" w:rsidTr="0065709E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Inversión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65709E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$5,019,613,657</w:t>
            </w:r>
          </w:p>
        </w:tc>
      </w:tr>
      <w:tr w:rsidR="000A0023" w:rsidRPr="00A4792B" w:rsidTr="0065709E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Inversiones Financieras y Otras Provisiones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65709E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65709E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Participaciones y Aportaciones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65709E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$12,493,828,544.00</w:t>
            </w:r>
          </w:p>
        </w:tc>
      </w:tr>
      <w:tr w:rsidR="000A0023" w:rsidRPr="00A4792B" w:rsidTr="0065709E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Deuda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65709E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$1,192,768,528.00</w:t>
            </w:r>
          </w:p>
        </w:tc>
      </w:tr>
      <w:tr w:rsidR="000A0023" w:rsidRPr="00A4792B" w:rsidTr="0065709E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</w:p>
        </w:tc>
      </w:tr>
    </w:tbl>
    <w:p w:rsidR="000A4A84" w:rsidRPr="007D33DC" w:rsidRDefault="000A4A84"/>
    <w:sectPr w:rsidR="000A4A84" w:rsidRPr="007D33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2B" w:rsidRDefault="00A4792B" w:rsidP="00A4792B">
      <w:pPr>
        <w:spacing w:after="0" w:line="240" w:lineRule="auto"/>
      </w:pPr>
      <w:r>
        <w:separator/>
      </w:r>
    </w:p>
  </w:endnote>
  <w:endnote w:type="continuationSeparator" w:id="0">
    <w:p w:rsidR="00A4792B" w:rsidRDefault="00A4792B" w:rsidP="00A4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2B" w:rsidRDefault="00A4792B" w:rsidP="00A4792B">
      <w:pPr>
        <w:spacing w:after="0" w:line="240" w:lineRule="auto"/>
      </w:pPr>
      <w:r>
        <w:separator/>
      </w:r>
    </w:p>
  </w:footnote>
  <w:footnote w:type="continuationSeparator" w:id="0">
    <w:p w:rsidR="00A4792B" w:rsidRDefault="00A4792B" w:rsidP="00A4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B" w:rsidRDefault="00A4792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-358893</wp:posOffset>
          </wp:positionV>
          <wp:extent cx="3043123" cy="772558"/>
          <wp:effectExtent l="0" t="0" r="508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123" cy="77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-619658</wp:posOffset>
          </wp:positionH>
          <wp:positionV relativeFrom="paragraph">
            <wp:posOffset>-339344</wp:posOffset>
          </wp:positionV>
          <wp:extent cx="2817495" cy="755015"/>
          <wp:effectExtent l="0" t="0" r="190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92B" w:rsidRDefault="00A479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4E8"/>
    <w:multiLevelType w:val="hybridMultilevel"/>
    <w:tmpl w:val="0E4829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50740"/>
    <w:multiLevelType w:val="hybridMultilevel"/>
    <w:tmpl w:val="C7D4C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3"/>
    <w:rsid w:val="000A0023"/>
    <w:rsid w:val="000A4A84"/>
    <w:rsid w:val="00357F84"/>
    <w:rsid w:val="0065709E"/>
    <w:rsid w:val="007D33DC"/>
    <w:rsid w:val="0085737B"/>
    <w:rsid w:val="00A4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CLAUDIA IVETTE  SOTO PINEDA</cp:lastModifiedBy>
  <cp:revision>3</cp:revision>
  <cp:lastPrinted>2017-01-25T19:33:00Z</cp:lastPrinted>
  <dcterms:created xsi:type="dcterms:W3CDTF">2017-01-23T21:43:00Z</dcterms:created>
  <dcterms:modified xsi:type="dcterms:W3CDTF">2017-01-25T19:33:00Z</dcterms:modified>
</cp:coreProperties>
</file>