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23" w:rsidRPr="007D33DC" w:rsidRDefault="000A0023" w:rsidP="00A4792B">
      <w:pPr>
        <w:tabs>
          <w:tab w:val="left" w:pos="1276"/>
          <w:tab w:val="center" w:pos="4419"/>
          <w:tab w:val="left" w:pos="4954"/>
        </w:tabs>
        <w:autoSpaceDE w:val="0"/>
        <w:autoSpaceDN w:val="0"/>
        <w:adjustRightInd w:val="0"/>
        <w:spacing w:before="120" w:after="120"/>
        <w:ind w:left="426" w:hanging="426"/>
        <w:jc w:val="center"/>
        <w:rPr>
          <w:rFonts w:cstheme="minorHAnsi"/>
          <w:b/>
        </w:rPr>
      </w:pPr>
      <w:r w:rsidRPr="007D33DC">
        <w:rPr>
          <w:rFonts w:cstheme="minorHAnsi"/>
          <w:b/>
        </w:rPr>
        <w:t>NORMA PARA LA DIFUSIÓN A LA CIUDADANÍA DE LA LEY DE INGRESOS Y DEL PRESUPUESTO DE EGRESOS</w:t>
      </w:r>
      <w:r w:rsidR="00696AC4">
        <w:rPr>
          <w:rFonts w:cstheme="minorHAnsi"/>
          <w:b/>
        </w:rPr>
        <w:t xml:space="preserve"> EJERCICIO 2019</w:t>
      </w:r>
      <w:r w:rsidRPr="007D33DC">
        <w:rPr>
          <w:rFonts w:cstheme="minorHAnsi"/>
          <w:b/>
        </w:rPr>
        <w:t>.</w:t>
      </w:r>
    </w:p>
    <w:p w:rsidR="000A0023" w:rsidRPr="007D33DC" w:rsidRDefault="000A0023" w:rsidP="007D33DC">
      <w:pPr>
        <w:pStyle w:val="Prrafodelista"/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cstheme="minorHAnsi"/>
          <w:bCs/>
        </w:rPr>
      </w:pPr>
      <w:r w:rsidRPr="007D33DC">
        <w:rPr>
          <w:rFonts w:cstheme="minorHAnsi"/>
          <w:bCs/>
        </w:rPr>
        <w:t>En apego al artículo 62 de la Ley General de Contabilidad Gubernamental, los entes públicos elaborarán y difundirán en sus respectivas páginas de Internet documentos dirigidos a la ciudadanía que expliquen, de manera sencilla y en formatos accesibles la Ley de Ingresos y el Presupuesto de Egresos.</w:t>
      </w:r>
    </w:p>
    <w:p w:rsidR="007D33DC" w:rsidRPr="007D33DC" w:rsidRDefault="007D33DC" w:rsidP="000A002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b/>
        </w:rPr>
      </w:pPr>
    </w:p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b/>
        </w:rPr>
      </w:pPr>
      <w:r w:rsidRPr="007D33DC">
        <w:rPr>
          <w:rFonts w:cstheme="minorHAnsi"/>
          <w:b/>
        </w:rPr>
        <w:t>Estructura y contenido</w:t>
      </w:r>
    </w:p>
    <w:p w:rsidR="000A0023" w:rsidRPr="007D33DC" w:rsidRDefault="000A0023" w:rsidP="007D33D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</w:rPr>
      </w:pPr>
    </w:p>
    <w:p w:rsidR="007D33DC" w:rsidRPr="007D33DC" w:rsidRDefault="007D33DC" w:rsidP="007D33D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4347"/>
        <w:gridCol w:w="5150"/>
      </w:tblGrid>
      <w:tr w:rsidR="000A0023" w:rsidRPr="00A4792B" w:rsidTr="003A35FA">
        <w:tc>
          <w:tcPr>
            <w:tcW w:w="4748" w:type="dxa"/>
            <w:shd w:val="clear" w:color="auto" w:fill="8DB3E2" w:themeFill="text2" w:themeFillTint="66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theme="minorHAnsi"/>
                <w:bCs/>
                <w:i/>
              </w:rPr>
            </w:pPr>
            <w:r w:rsidRPr="00A4792B">
              <w:rPr>
                <w:rFonts w:cstheme="minorHAnsi"/>
                <w:bCs/>
                <w:i/>
              </w:rPr>
              <w:t>Preguntas / apartados</w:t>
            </w:r>
          </w:p>
        </w:tc>
        <w:tc>
          <w:tcPr>
            <w:tcW w:w="4749" w:type="dxa"/>
            <w:shd w:val="clear" w:color="auto" w:fill="8DB3E2" w:themeFill="text2" w:themeFillTint="66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theme="minorHAnsi"/>
                <w:bCs/>
                <w:i/>
              </w:rPr>
            </w:pPr>
            <w:r w:rsidRPr="00A4792B">
              <w:rPr>
                <w:rFonts w:cstheme="minorHAnsi"/>
                <w:bCs/>
                <w:i/>
              </w:rPr>
              <w:t>Consideraciones</w:t>
            </w: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¿Qué es la Ley de Ingresos y Cuál es su importancia?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Documento jurídico aprobado por el H. Congreso del Estado a iniciativa del C. Gobernador, en el cual se consigna el importe del Ingreso de acuerdo con su naturaleza y cuantía, que debe captar el gobierno estatal en el desempeño de sus funciones en cada ejercicio fiscal. 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¿De dónde obtienen los gobiernos sus ingresos?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El Estado obtendrá los ingresos para financiar sus gastos de las siguientes fuentes:</w:t>
            </w:r>
          </w:p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Impuestos.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Derechos.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Productos.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Aprovechamientos.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Contribuciones no comprendidas en las fracciones de la Ley de Ingresos causados en ejercicios fiscales anteriores pendientes de liquidación o pago.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Participaciones, aportaciones, transferencias, asignaciones, subsidios y otras ayudas.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Otros ingresos.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¿Qué es el Presupuesto de Egresos y cuál es su importancia?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Documento jurídico aprobado por el H. Congreso del Estado a iniciativa del C. Gobernador, en el cual se consigna el gasto público de acuerdo con su naturaleza y cuantía, que debe realizar el gobierno estatal en el desempeño de sus funciones en cada ejercicio fiscal. </w:t>
            </w:r>
          </w:p>
          <w:p w:rsidR="007D33DC" w:rsidRPr="00A4792B" w:rsidRDefault="007D33DC" w:rsidP="007D33DC"/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En el presupuesto de Egresos se encuentra integrado en base a los diferentes clasificadores de gasto: Clasificador de Tipo y Objeto del Gasto; al Clasificador Funcional; al Clasificador Programático; Clasificador  de Claves de Financiamiento; Clasificador </w:t>
            </w:r>
            <w:r w:rsidRPr="00A4792B">
              <w:rPr>
                <w:rFonts w:cs="Arial"/>
              </w:rPr>
              <w:lastRenderedPageBreak/>
              <w:t>Administrativo; y, a las demás disposiciones que al efecto emita la Secretaría de Finanzas. Lo anterior para tener un control eficiente y eficaz del gasto, teniendo como resultado este Documento el cual permite controlar, ejercer, analizar y evaluar el ejercicio de los recursos públicos, a fin de rendir cuentas de los mismos a la ciudadanía y que se cumplan los objetivos y metas plasmados en el Plan Estatal de Desarrollo 2017-2022.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lastRenderedPageBreak/>
              <w:t>¿En qué se gasta?</w:t>
            </w:r>
          </w:p>
        </w:tc>
        <w:tc>
          <w:tcPr>
            <w:tcW w:w="4749" w:type="dxa"/>
            <w:tcBorders>
              <w:bottom w:val="nil"/>
            </w:tcBorders>
          </w:tcPr>
          <w:p w:rsidR="007D33DC" w:rsidRPr="00A4792B" w:rsidRDefault="007D33DC" w:rsidP="007D33DC">
            <w:pPr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En hacer frente a las obligaciones del Estado con los trabajadores en todas las modalidades contractuales; gastos para la adquisición de materiales y suministros; servicios básicos: energía eléctrica, teléfono, agua potable, mantenimiento de equipo de transporte y maquinaria, aseguramiento de bienes patrimoniales, arrendamiento de inmuebles y arrendamiento de edificios públicos, que hace posible a los ejecutores de gasto; en inversión pública; pago de obligaciones de los procesos de bursatilización; y, disminución de la deuda pública. 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0A0023" w:rsidRPr="00A4792B" w:rsidTr="00C634AB">
        <w:trPr>
          <w:trHeight w:val="64"/>
        </w:trPr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¿Para qué se gasta?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La Administración Pública Estatal  destina recursos para mejorar los índices de desarrollo social en el Estado invirtiendo en educación, salud, nutrición e infraestructura principalmente, focalizando las acciones en grupos vulnerables, basándonos en la estructura programática la cual está basada en el PED nuestro documento rector y en la Clasificación Funcional.</w:t>
            </w:r>
          </w:p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¿Qué pueden hacer los ciudadanos?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Los ciudadanos pueden acceder a la información referente a la Ley de Ingresos y el Presupuesto de Egresos dentro de los portales de la Secretaría de Finanzas, Contraloría, Periódico Oficial del Estado.</w:t>
            </w:r>
          </w:p>
          <w:p w:rsidR="007D33DC" w:rsidRPr="00A4792B" w:rsidRDefault="007D33DC" w:rsidP="007D33DC">
            <w:pPr>
              <w:tabs>
                <w:tab w:val="left" w:pos="493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ab/>
            </w:r>
          </w:p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</w:tbl>
    <w:p w:rsidR="000A0023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Pr="007D33DC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CE1775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  <w:r w:rsidRPr="007D33DC">
        <w:rPr>
          <w:rFonts w:cstheme="minorHAnsi"/>
        </w:rPr>
        <w:t>Ejemplo en cuanto a los ingresos:</w:t>
      </w:r>
      <w:r w:rsidR="00357F84">
        <w:rPr>
          <w:rFonts w:cstheme="minorHAnsi"/>
        </w:rPr>
        <w:t xml:space="preserve"> </w:t>
      </w:r>
      <w:r w:rsidR="00357F84">
        <w:rPr>
          <w:rFonts w:cstheme="minorHAnsi"/>
        </w:rPr>
        <w:tab/>
      </w:r>
    </w:p>
    <w:p w:rsidR="000A0023" w:rsidRPr="007D33DC" w:rsidRDefault="00CE1775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(P</w:t>
      </w:r>
      <w:r w:rsidR="00357F84">
        <w:rPr>
          <w:rFonts w:cstheme="minorHAnsi"/>
        </w:rPr>
        <w:t>esos)</w:t>
      </w:r>
    </w:p>
    <w:tbl>
      <w:tblPr>
        <w:tblStyle w:val="Tablaconcuadrcula"/>
        <w:tblW w:w="96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229"/>
        <w:gridCol w:w="2406"/>
      </w:tblGrid>
      <w:tr w:rsidR="000A0023" w:rsidRPr="00A4792B" w:rsidTr="00C634AB">
        <w:trPr>
          <w:trHeight w:val="265"/>
        </w:trPr>
        <w:tc>
          <w:tcPr>
            <w:tcW w:w="7229" w:type="dxa"/>
            <w:vAlign w:val="center"/>
          </w:tcPr>
          <w:p w:rsidR="000A0023" w:rsidRPr="00A4792B" w:rsidRDefault="000A0023" w:rsidP="00C634AB">
            <w:pPr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 xml:space="preserve">Origen de los Ingresos </w:t>
            </w:r>
          </w:p>
        </w:tc>
        <w:tc>
          <w:tcPr>
            <w:tcW w:w="2406" w:type="dxa"/>
            <w:vAlign w:val="center"/>
          </w:tcPr>
          <w:p w:rsidR="000A0023" w:rsidRPr="00A4792B" w:rsidRDefault="000A0023" w:rsidP="00C634AB">
            <w:pPr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Importe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Impuestos</w:t>
            </w:r>
          </w:p>
        </w:tc>
        <w:tc>
          <w:tcPr>
            <w:tcW w:w="2406" w:type="dxa"/>
          </w:tcPr>
          <w:p w:rsidR="000A0023" w:rsidRPr="00A4792B" w:rsidRDefault="00236542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236542">
              <w:rPr>
                <w:rFonts w:cstheme="minorHAnsi"/>
                <w:bCs/>
              </w:rPr>
              <w:t>1,314,103,439.00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Cuotas y Aportaciones de seguridad social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Contribuciones de mejoras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Derechos</w:t>
            </w:r>
          </w:p>
        </w:tc>
        <w:tc>
          <w:tcPr>
            <w:tcW w:w="2406" w:type="dxa"/>
          </w:tcPr>
          <w:p w:rsidR="000A0023" w:rsidRPr="00A4792B" w:rsidRDefault="00236542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236542">
              <w:rPr>
                <w:rFonts w:cstheme="minorHAnsi"/>
                <w:bCs/>
              </w:rPr>
              <w:t>1,600,713,231.00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Productos</w:t>
            </w:r>
          </w:p>
        </w:tc>
        <w:tc>
          <w:tcPr>
            <w:tcW w:w="2406" w:type="dxa"/>
          </w:tcPr>
          <w:p w:rsidR="000A0023" w:rsidRPr="00A4792B" w:rsidRDefault="00236542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236542">
              <w:rPr>
                <w:rFonts w:cstheme="minorHAnsi"/>
                <w:bCs/>
              </w:rPr>
              <w:t>129,431,423.00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Aprovechamientos</w:t>
            </w:r>
          </w:p>
        </w:tc>
        <w:tc>
          <w:tcPr>
            <w:tcW w:w="2406" w:type="dxa"/>
          </w:tcPr>
          <w:p w:rsidR="000A0023" w:rsidRPr="00A4792B" w:rsidRDefault="00236542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236542">
              <w:rPr>
                <w:rFonts w:cstheme="minorHAnsi"/>
                <w:bCs/>
              </w:rPr>
              <w:t>257,908,134.00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Ingresos por ventas de bienes y servicios</w:t>
            </w:r>
          </w:p>
        </w:tc>
        <w:tc>
          <w:tcPr>
            <w:tcW w:w="2406" w:type="dxa"/>
          </w:tcPr>
          <w:p w:rsidR="000A0023" w:rsidRPr="00A4792B" w:rsidRDefault="00F95F62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Participaciones y Aportaciones</w:t>
            </w:r>
          </w:p>
        </w:tc>
        <w:tc>
          <w:tcPr>
            <w:tcW w:w="2406" w:type="dxa"/>
          </w:tcPr>
          <w:p w:rsidR="00F95F62" w:rsidRPr="00A4792B" w:rsidRDefault="00236542" w:rsidP="00F95F6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236542">
              <w:rPr>
                <w:rFonts w:cstheme="minorHAnsi"/>
                <w:bCs/>
              </w:rPr>
              <w:t>63,116,414,486.00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Transferencias, Asignaciones, Subsidios y Otras Ayudas</w:t>
            </w:r>
          </w:p>
        </w:tc>
        <w:tc>
          <w:tcPr>
            <w:tcW w:w="2406" w:type="dxa"/>
          </w:tcPr>
          <w:p w:rsidR="000A0023" w:rsidRPr="00A4792B" w:rsidRDefault="00236542" w:rsidP="00F95F6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236542">
              <w:rPr>
                <w:rFonts w:cstheme="minorHAnsi"/>
                <w:bCs/>
              </w:rPr>
              <w:t>2,251,737,454.00</w:t>
            </w:r>
          </w:p>
        </w:tc>
      </w:tr>
      <w:tr w:rsidR="00236542" w:rsidRPr="00A4792B" w:rsidTr="00C634AB">
        <w:trPr>
          <w:trHeight w:val="113"/>
        </w:trPr>
        <w:tc>
          <w:tcPr>
            <w:tcW w:w="7229" w:type="dxa"/>
          </w:tcPr>
          <w:p w:rsidR="00236542" w:rsidRPr="00A4792B" w:rsidRDefault="00236542" w:rsidP="002365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Ingresos Derivados de Financiamientos</w:t>
            </w:r>
          </w:p>
        </w:tc>
        <w:tc>
          <w:tcPr>
            <w:tcW w:w="2406" w:type="dxa"/>
          </w:tcPr>
          <w:p w:rsidR="00236542" w:rsidRPr="00236542" w:rsidRDefault="00236542" w:rsidP="00F95F6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236542">
              <w:rPr>
                <w:rFonts w:cstheme="minorHAnsi"/>
                <w:bCs/>
              </w:rPr>
              <w:t>307,406,000.00</w:t>
            </w:r>
          </w:p>
        </w:tc>
      </w:tr>
      <w:tr w:rsidR="00CE1775" w:rsidRPr="00A4792B" w:rsidTr="00CE1775">
        <w:trPr>
          <w:trHeight w:val="113"/>
        </w:trPr>
        <w:tc>
          <w:tcPr>
            <w:tcW w:w="7229" w:type="dxa"/>
            <w:shd w:val="clear" w:color="auto" w:fill="8DB3E2" w:themeFill="text2" w:themeFillTint="66"/>
          </w:tcPr>
          <w:p w:rsidR="00CE1775" w:rsidRPr="009879D4" w:rsidRDefault="00CE1775" w:rsidP="00CE1775">
            <w:pPr>
              <w:jc w:val="right"/>
              <w:rPr>
                <w:rFonts w:cstheme="minorHAnsi"/>
                <w:b/>
                <w:bCs/>
              </w:rPr>
            </w:pPr>
            <w:r w:rsidRPr="009879D4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406" w:type="dxa"/>
            <w:shd w:val="clear" w:color="auto" w:fill="8DB3E2" w:themeFill="text2" w:themeFillTint="66"/>
          </w:tcPr>
          <w:p w:rsidR="00CE1775" w:rsidRPr="009879D4" w:rsidRDefault="00CE1775" w:rsidP="00FC3405">
            <w:pPr>
              <w:jc w:val="right"/>
              <w:rPr>
                <w:rFonts w:cstheme="minorHAnsi"/>
                <w:b/>
                <w:bCs/>
              </w:rPr>
            </w:pPr>
            <w:r w:rsidRPr="009879D4">
              <w:rPr>
                <w:rFonts w:cstheme="minorHAnsi"/>
                <w:b/>
                <w:bCs/>
              </w:rPr>
              <w:t>$</w:t>
            </w:r>
            <w:r w:rsidRPr="00236542">
              <w:rPr>
                <w:rFonts w:cstheme="minorHAnsi"/>
                <w:b/>
                <w:bCs/>
              </w:rPr>
              <w:t>68,977,714,168.00</w:t>
            </w:r>
          </w:p>
        </w:tc>
      </w:tr>
    </w:tbl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CE1775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  <w:r w:rsidRPr="007D33DC">
        <w:rPr>
          <w:rFonts w:cstheme="minorHAnsi"/>
        </w:rPr>
        <w:t>Ejemplo en cuanto a los egresos:</w:t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  <w:t xml:space="preserve">       </w:t>
      </w:r>
    </w:p>
    <w:p w:rsidR="000A0023" w:rsidRPr="00CE1775" w:rsidRDefault="0065709E" w:rsidP="00CE1775">
      <w:pPr>
        <w:autoSpaceDE w:val="0"/>
        <w:autoSpaceDN w:val="0"/>
        <w:adjustRightInd w:val="0"/>
        <w:spacing w:after="0" w:line="240" w:lineRule="auto"/>
        <w:ind w:left="397"/>
        <w:contextualSpacing/>
        <w:jc w:val="center"/>
        <w:rPr>
          <w:rFonts w:cstheme="minorHAnsi"/>
        </w:rPr>
      </w:pPr>
      <w:r>
        <w:rPr>
          <w:rFonts w:cstheme="minorHAnsi"/>
        </w:rPr>
        <w:t>(</w:t>
      </w:r>
      <w:r w:rsidR="00CE1775">
        <w:rPr>
          <w:rFonts w:cstheme="minorHAnsi"/>
        </w:rPr>
        <w:t>P</w:t>
      </w:r>
      <w:r>
        <w:rPr>
          <w:rFonts w:cstheme="minorHAnsi"/>
        </w:rPr>
        <w:t>esos)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0A0023" w:rsidRPr="00A4792B" w:rsidTr="0065709E">
        <w:trPr>
          <w:trHeight w:val="6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¿En qué se gasta?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</w:rPr>
            </w:pPr>
            <w:r w:rsidRPr="00A4792B">
              <w:rPr>
                <w:rFonts w:cstheme="minorHAnsi"/>
                <w:bCs/>
              </w:rPr>
              <w:t>Importe</w:t>
            </w:r>
          </w:p>
        </w:tc>
      </w:tr>
      <w:tr w:rsidR="000A0023" w:rsidRPr="00A4792B" w:rsidTr="00CE1775">
        <w:trPr>
          <w:trHeight w:val="99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0A0023" w:rsidP="00C634A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F95F62" w:rsidRDefault="000A0023" w:rsidP="0065709E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  <w:tr w:rsidR="003A35FA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FA" w:rsidRPr="00A4792B" w:rsidRDefault="003A35FA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Servicios Personales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5FA" w:rsidRPr="003A35FA" w:rsidRDefault="003A35FA" w:rsidP="003A35FA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3A35FA">
              <w:rPr>
                <w:rFonts w:cstheme="minorHAnsi"/>
                <w:bCs/>
              </w:rPr>
              <w:t xml:space="preserve">4,396,136,409.58 </w:t>
            </w:r>
          </w:p>
        </w:tc>
      </w:tr>
      <w:tr w:rsidR="003A35FA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FA" w:rsidRPr="00A4792B" w:rsidRDefault="003A35FA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Materiales y Suministros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5FA" w:rsidRPr="003A35FA" w:rsidRDefault="003A35FA" w:rsidP="003A35FA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3A35FA">
              <w:rPr>
                <w:rFonts w:cstheme="minorHAnsi"/>
                <w:bCs/>
              </w:rPr>
              <w:t xml:space="preserve">382,680,155.14 </w:t>
            </w:r>
          </w:p>
        </w:tc>
      </w:tr>
      <w:tr w:rsidR="003A35FA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FA" w:rsidRPr="00A4792B" w:rsidRDefault="003A35FA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Servicios Generales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5FA" w:rsidRPr="003A35FA" w:rsidRDefault="003A35FA" w:rsidP="003A35FA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3A35FA">
              <w:rPr>
                <w:rFonts w:cstheme="minorHAnsi"/>
                <w:bCs/>
              </w:rPr>
              <w:t xml:space="preserve">1,891,405,046.31 </w:t>
            </w:r>
          </w:p>
        </w:tc>
      </w:tr>
      <w:tr w:rsidR="003A35FA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FA" w:rsidRPr="00A4792B" w:rsidRDefault="003A35FA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Transferencias, Asignaciones, Subsidios y Otras Ayudas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5FA" w:rsidRPr="003A35FA" w:rsidRDefault="003A35FA" w:rsidP="003A35FA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3A35FA">
              <w:rPr>
                <w:rFonts w:cstheme="minorHAnsi"/>
                <w:bCs/>
              </w:rPr>
              <w:t xml:space="preserve">39,410,020,046.21 </w:t>
            </w:r>
          </w:p>
        </w:tc>
      </w:tr>
      <w:tr w:rsidR="003A35FA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FA" w:rsidRPr="00A4792B" w:rsidRDefault="003A35FA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Bienes Muebles, Inmuebles e Intangibles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5FA" w:rsidRPr="003A35FA" w:rsidRDefault="003A35FA" w:rsidP="003A35FA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3A35FA">
              <w:rPr>
                <w:rFonts w:cstheme="minorHAnsi"/>
                <w:bCs/>
              </w:rPr>
              <w:t xml:space="preserve">102,846,649.00 </w:t>
            </w:r>
          </w:p>
        </w:tc>
      </w:tr>
      <w:tr w:rsidR="003A35FA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FA" w:rsidRPr="00A4792B" w:rsidRDefault="003A35FA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Inversión Pública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5FA" w:rsidRPr="003A35FA" w:rsidRDefault="003A35FA" w:rsidP="003A35FA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3A35FA">
              <w:rPr>
                <w:rFonts w:cstheme="minorHAnsi"/>
                <w:bCs/>
              </w:rPr>
              <w:t xml:space="preserve">4,816,595,296.78 </w:t>
            </w:r>
          </w:p>
        </w:tc>
      </w:tr>
      <w:tr w:rsidR="003A35FA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FA" w:rsidRPr="00A4792B" w:rsidRDefault="003A35FA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Inversiones Financieras y Otras Provisiones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5FA" w:rsidRPr="003A35FA" w:rsidRDefault="003A35FA" w:rsidP="003A35FA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3A35FA">
              <w:rPr>
                <w:rFonts w:cstheme="minorHAnsi"/>
                <w:bCs/>
              </w:rPr>
              <w:t xml:space="preserve">0.00 </w:t>
            </w:r>
          </w:p>
        </w:tc>
      </w:tr>
      <w:tr w:rsidR="003A35FA" w:rsidRPr="00A4792B" w:rsidTr="00CE1775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FA" w:rsidRPr="00A4792B" w:rsidRDefault="003A35FA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Participaciones y Aportaciones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5FA" w:rsidRPr="003A35FA" w:rsidRDefault="003A35FA" w:rsidP="003A35FA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3A35FA">
              <w:rPr>
                <w:rFonts w:cstheme="minorHAnsi"/>
                <w:bCs/>
              </w:rPr>
              <w:t xml:space="preserve">14,062,260,130.33 </w:t>
            </w:r>
          </w:p>
        </w:tc>
      </w:tr>
      <w:tr w:rsidR="003A35FA" w:rsidRPr="00A4792B" w:rsidTr="00CE1775">
        <w:trPr>
          <w:trHeight w:val="17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5FA" w:rsidRPr="00A4792B" w:rsidRDefault="003A35FA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Deuda Pública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35FA" w:rsidRPr="003A35FA" w:rsidRDefault="003A35FA" w:rsidP="003A35FA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  <w:r w:rsidRPr="003A35FA">
              <w:rPr>
                <w:rFonts w:cstheme="minorHAnsi"/>
                <w:bCs/>
              </w:rPr>
              <w:t xml:space="preserve">3,891,926,900.80 </w:t>
            </w:r>
          </w:p>
        </w:tc>
      </w:tr>
      <w:tr w:rsidR="00CE1775" w:rsidRPr="00A4792B" w:rsidTr="00CE1775">
        <w:trPr>
          <w:trHeight w:val="170"/>
        </w:trPr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CE1775" w:rsidRPr="00CE1775" w:rsidRDefault="00CE1775" w:rsidP="00CE1775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CE1775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CE1775" w:rsidRPr="00CE1775" w:rsidRDefault="00CE1775" w:rsidP="00FC3405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CE1775">
              <w:rPr>
                <w:rFonts w:cstheme="minorHAnsi"/>
                <w:b/>
                <w:bCs/>
              </w:rPr>
              <w:t>$68,953,870,634.15</w:t>
            </w:r>
          </w:p>
        </w:tc>
      </w:tr>
    </w:tbl>
    <w:p w:rsidR="000A4A84" w:rsidRPr="007D33DC" w:rsidRDefault="000A4A84">
      <w:bookmarkStart w:id="0" w:name="_GoBack"/>
      <w:bookmarkEnd w:id="0"/>
    </w:p>
    <w:sectPr w:rsidR="000A4A84" w:rsidRPr="007D33D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6E" w:rsidRDefault="00E36A6E" w:rsidP="00A4792B">
      <w:pPr>
        <w:spacing w:after="0" w:line="240" w:lineRule="auto"/>
      </w:pPr>
      <w:r>
        <w:separator/>
      </w:r>
    </w:p>
  </w:endnote>
  <w:endnote w:type="continuationSeparator" w:id="0">
    <w:p w:rsidR="00E36A6E" w:rsidRDefault="00E36A6E" w:rsidP="00A4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6E" w:rsidRDefault="00E36A6E" w:rsidP="00A4792B">
      <w:pPr>
        <w:spacing w:after="0" w:line="240" w:lineRule="auto"/>
      </w:pPr>
      <w:r>
        <w:separator/>
      </w:r>
    </w:p>
  </w:footnote>
  <w:footnote w:type="continuationSeparator" w:id="0">
    <w:p w:rsidR="00E36A6E" w:rsidRDefault="00E36A6E" w:rsidP="00A4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2B" w:rsidRDefault="00A4792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-358893</wp:posOffset>
          </wp:positionV>
          <wp:extent cx="3043123" cy="772558"/>
          <wp:effectExtent l="0" t="0" r="508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123" cy="77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-619658</wp:posOffset>
          </wp:positionH>
          <wp:positionV relativeFrom="paragraph">
            <wp:posOffset>-339344</wp:posOffset>
          </wp:positionV>
          <wp:extent cx="2817495" cy="755015"/>
          <wp:effectExtent l="0" t="0" r="190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92B" w:rsidRDefault="00A479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4E8"/>
    <w:multiLevelType w:val="hybridMultilevel"/>
    <w:tmpl w:val="0E4829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50740"/>
    <w:multiLevelType w:val="hybridMultilevel"/>
    <w:tmpl w:val="C7D4C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23"/>
    <w:rsid w:val="000A0023"/>
    <w:rsid w:val="000A4A84"/>
    <w:rsid w:val="001D2E5D"/>
    <w:rsid w:val="00236542"/>
    <w:rsid w:val="00357F84"/>
    <w:rsid w:val="003A35FA"/>
    <w:rsid w:val="004069EF"/>
    <w:rsid w:val="004B4969"/>
    <w:rsid w:val="0065709E"/>
    <w:rsid w:val="00696AC4"/>
    <w:rsid w:val="007D33DC"/>
    <w:rsid w:val="00823052"/>
    <w:rsid w:val="00840B2F"/>
    <w:rsid w:val="0085737B"/>
    <w:rsid w:val="009879D4"/>
    <w:rsid w:val="00A4792B"/>
    <w:rsid w:val="00CE1775"/>
    <w:rsid w:val="00D84FAD"/>
    <w:rsid w:val="00E36A6E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0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00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92B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92B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0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00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92B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92B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IVETTE  SOTO PINEDA</dc:creator>
  <cp:lastModifiedBy>CLAUDIA IVETTE  SOTO PINEDA</cp:lastModifiedBy>
  <cp:revision>13</cp:revision>
  <cp:lastPrinted>2017-01-25T19:33:00Z</cp:lastPrinted>
  <dcterms:created xsi:type="dcterms:W3CDTF">2019-04-04T17:50:00Z</dcterms:created>
  <dcterms:modified xsi:type="dcterms:W3CDTF">2019-04-04T17:58:00Z</dcterms:modified>
</cp:coreProperties>
</file>