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77777777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77777777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0D455AB8" w:rsidR="00C80F04" w:rsidRPr="00CF55B1" w:rsidRDefault="00606811" w:rsidP="00C80F04">
      <w:pPr>
        <w:jc w:val="center"/>
        <w:rPr>
          <w:noProof/>
          <w:lang w:eastAsia="es-ES"/>
        </w:rPr>
      </w:pPr>
      <w:r w:rsidRPr="00606811">
        <w:rPr>
          <w:noProof/>
          <w:lang w:val="es-MX" w:eastAsia="es-MX"/>
        </w:rPr>
        <w:drawing>
          <wp:inline distT="0" distB="0" distL="0" distR="0" wp14:anchorId="6EBDBBA5" wp14:editId="036E1122">
            <wp:extent cx="6376035" cy="4128276"/>
            <wp:effectExtent l="0" t="0" r="571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13" cy="41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F49E" w14:textId="77777777" w:rsidR="0015593B" w:rsidRDefault="00BF4560" w:rsidP="001D4445">
      <w:pPr>
        <w:pStyle w:val="Prrafodelista"/>
        <w:numPr>
          <w:ilvl w:val="0"/>
          <w:numId w:val="2"/>
        </w:numPr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79A5B70B" w14:textId="305799DC" w:rsidR="00197C54" w:rsidRDefault="006568AE" w:rsidP="006568AE">
      <w:pPr>
        <w:pStyle w:val="Prrafodelista"/>
        <w:tabs>
          <w:tab w:val="left" w:pos="7335"/>
        </w:tabs>
        <w:ind w:left="284"/>
        <w:jc w:val="both"/>
      </w:pPr>
      <w:r>
        <w:tab/>
      </w:r>
    </w:p>
    <w:p w14:paraId="6962E06A" w14:textId="440358BE" w:rsidR="001D4445" w:rsidRPr="002361C5" w:rsidRDefault="006568AE" w:rsidP="00FC7357">
      <w:pPr>
        <w:pStyle w:val="Prrafodelista"/>
        <w:ind w:left="284"/>
        <w:jc w:val="center"/>
      </w:pPr>
      <w:r w:rsidRPr="006568AE">
        <w:rPr>
          <w:noProof/>
          <w:lang w:val="es-MX" w:eastAsia="es-MX"/>
        </w:rPr>
        <w:drawing>
          <wp:inline distT="0" distB="0" distL="0" distR="0" wp14:anchorId="6271C6D1" wp14:editId="5F01BE62">
            <wp:extent cx="4661535" cy="3019790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692" cy="302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23B1" w14:textId="23DCE2DE" w:rsidR="000B20F5" w:rsidRDefault="000B20F5" w:rsidP="000B20F5">
      <w:pPr>
        <w:pStyle w:val="Prrafodelista"/>
        <w:ind w:left="284"/>
        <w:jc w:val="both"/>
      </w:pPr>
    </w:p>
    <w:p w14:paraId="6BF82A06" w14:textId="77777777" w:rsidR="00197C54" w:rsidRDefault="00197C54" w:rsidP="000B20F5">
      <w:pPr>
        <w:pStyle w:val="Prrafodelista"/>
        <w:ind w:left="284"/>
        <w:jc w:val="both"/>
      </w:pPr>
    </w:p>
    <w:p w14:paraId="6A8D5F5F" w14:textId="77777777" w:rsidR="00197C54" w:rsidRDefault="00197C54" w:rsidP="00197C54">
      <w:pPr>
        <w:pStyle w:val="Prrafodelista"/>
        <w:ind w:left="284"/>
        <w:jc w:val="both"/>
      </w:pPr>
    </w:p>
    <w:p w14:paraId="178E0755" w14:textId="660AB709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A527C8">
        <w:t>junio</w:t>
      </w:r>
      <w:r w:rsidR="00CF55B1">
        <w:t xml:space="preserve"> de</w:t>
      </w:r>
      <w:r w:rsidR="00B835ED">
        <w:t xml:space="preserve"> 2020</w:t>
      </w:r>
      <w:r>
        <w:t xml:space="preserve">, representa el </w:t>
      </w:r>
      <w:r w:rsidR="00A527C8">
        <w:t>4.24</w:t>
      </w:r>
      <w:r w:rsidR="000B20F5">
        <w:t>% del</w:t>
      </w:r>
      <w:r>
        <w:t xml:space="preserve"> PIBE.</w:t>
      </w:r>
    </w:p>
    <w:p w14:paraId="58CDB485" w14:textId="0AD45246" w:rsidR="00CF55B1" w:rsidRDefault="000610CB" w:rsidP="000610CB">
      <w:pPr>
        <w:jc w:val="center"/>
      </w:pPr>
      <w:r w:rsidRPr="000610CB">
        <w:drawing>
          <wp:inline distT="0" distB="0" distL="0" distR="0" wp14:anchorId="4CF969DB" wp14:editId="5BACFA58">
            <wp:extent cx="4686300" cy="25241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32C3A" w14:textId="77777777" w:rsidR="00CF55B1" w:rsidRDefault="00CF55B1" w:rsidP="00841E3B"/>
    <w:p w14:paraId="3714AC13" w14:textId="77777777"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  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14:paraId="2F1A2A2C" w14:textId="77777777" w:rsidR="00982A9F" w:rsidRDefault="00982A9F" w:rsidP="00982A9F">
      <w:pPr>
        <w:pStyle w:val="Prrafodelista"/>
        <w:jc w:val="both"/>
      </w:pPr>
    </w:p>
    <w:p w14:paraId="19D0A896" w14:textId="1F55AE7A" w:rsidR="00982A9F" w:rsidRDefault="00982A9F" w:rsidP="00982A9F">
      <w:pPr>
        <w:pStyle w:val="Prrafodelista"/>
        <w:jc w:val="both"/>
      </w:pPr>
      <w:r>
        <w:t xml:space="preserve">Al cierre de </w:t>
      </w:r>
      <w:r w:rsidR="00A527C8">
        <w:t>junio</w:t>
      </w:r>
      <w:r w:rsidR="00197C54">
        <w:t xml:space="preserve"> de 2020</w:t>
      </w:r>
      <w:r>
        <w:t xml:space="preserve">, el saldo de la deuda pública representa </w:t>
      </w:r>
      <w:r w:rsidR="00E65C61">
        <w:t>el</w:t>
      </w:r>
      <w:r w:rsidR="00A527C8">
        <w:t xml:space="preserve"> </w:t>
      </w:r>
      <w:r w:rsidR="00E65C61">
        <w:t xml:space="preserve"> </w:t>
      </w:r>
      <w:r w:rsidR="00A160D5">
        <w:t>597.54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14:paraId="74E04AB8" w14:textId="2947057C" w:rsidR="001D4445" w:rsidRDefault="000610CB" w:rsidP="000610CB">
      <w:pPr>
        <w:pStyle w:val="Prrafodelista"/>
        <w:tabs>
          <w:tab w:val="left" w:pos="8520"/>
        </w:tabs>
      </w:pPr>
      <w:r>
        <w:tab/>
      </w:r>
    </w:p>
    <w:p w14:paraId="5B9F78F1" w14:textId="773068C7" w:rsidR="00292196" w:rsidRDefault="000610CB" w:rsidP="000610CB">
      <w:pPr>
        <w:pStyle w:val="Prrafodelista"/>
        <w:jc w:val="center"/>
      </w:pPr>
      <w:r>
        <w:br w:type="textWrapping" w:clear="all"/>
      </w:r>
      <w:r w:rsidRPr="000610CB">
        <w:drawing>
          <wp:inline distT="0" distB="0" distL="0" distR="0" wp14:anchorId="2A459E33" wp14:editId="5A95360A">
            <wp:extent cx="3632300" cy="2286000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944" cy="22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196" w:rsidSect="00ED70FC">
      <w:headerReference w:type="default" r:id="rId12"/>
      <w:footerReference w:type="default" r:id="rId13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8EE09" w14:textId="77777777" w:rsidR="00F928D1" w:rsidRDefault="00F928D1" w:rsidP="001D4445">
      <w:pPr>
        <w:spacing w:after="0" w:line="240" w:lineRule="auto"/>
      </w:pPr>
      <w:r>
        <w:separator/>
      </w:r>
    </w:p>
  </w:endnote>
  <w:endnote w:type="continuationSeparator" w:id="0">
    <w:p w14:paraId="0988FE2B" w14:textId="77777777" w:rsidR="00F928D1" w:rsidRDefault="00F928D1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7DA58AD5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0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0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38BA1" w14:textId="77777777" w:rsidR="00F928D1" w:rsidRDefault="00F928D1" w:rsidP="001D4445">
      <w:pPr>
        <w:spacing w:after="0" w:line="240" w:lineRule="auto"/>
      </w:pPr>
      <w:r>
        <w:separator/>
      </w:r>
    </w:p>
  </w:footnote>
  <w:footnote w:type="continuationSeparator" w:id="0">
    <w:p w14:paraId="3768B962" w14:textId="77777777" w:rsidR="00F928D1" w:rsidRDefault="00F928D1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10CB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43814"/>
    <w:rsid w:val="001556A0"/>
    <w:rsid w:val="0015593B"/>
    <w:rsid w:val="00170FF3"/>
    <w:rsid w:val="00197C54"/>
    <w:rsid w:val="001B21E5"/>
    <w:rsid w:val="001D20A6"/>
    <w:rsid w:val="001D4445"/>
    <w:rsid w:val="001E6D5F"/>
    <w:rsid w:val="001F345E"/>
    <w:rsid w:val="00232531"/>
    <w:rsid w:val="002361C5"/>
    <w:rsid w:val="00244A8B"/>
    <w:rsid w:val="00256F6C"/>
    <w:rsid w:val="00280627"/>
    <w:rsid w:val="00292196"/>
    <w:rsid w:val="002C148D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402906"/>
    <w:rsid w:val="00405BEE"/>
    <w:rsid w:val="00411B8B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4CED"/>
    <w:rsid w:val="00545DC0"/>
    <w:rsid w:val="00551B03"/>
    <w:rsid w:val="005A6029"/>
    <w:rsid w:val="005C0063"/>
    <w:rsid w:val="005C2132"/>
    <w:rsid w:val="005C3528"/>
    <w:rsid w:val="005D5E18"/>
    <w:rsid w:val="005D6B68"/>
    <w:rsid w:val="005F049B"/>
    <w:rsid w:val="005F6CCE"/>
    <w:rsid w:val="0060301B"/>
    <w:rsid w:val="00606811"/>
    <w:rsid w:val="00616175"/>
    <w:rsid w:val="00622736"/>
    <w:rsid w:val="006260AA"/>
    <w:rsid w:val="00644049"/>
    <w:rsid w:val="006568AE"/>
    <w:rsid w:val="00657F81"/>
    <w:rsid w:val="006627B7"/>
    <w:rsid w:val="006633D4"/>
    <w:rsid w:val="006A3B5A"/>
    <w:rsid w:val="006C1BDF"/>
    <w:rsid w:val="006C1C2A"/>
    <w:rsid w:val="006D634E"/>
    <w:rsid w:val="006F7E9C"/>
    <w:rsid w:val="00705DBC"/>
    <w:rsid w:val="00721C8A"/>
    <w:rsid w:val="007261A1"/>
    <w:rsid w:val="007278C0"/>
    <w:rsid w:val="0074298E"/>
    <w:rsid w:val="00797627"/>
    <w:rsid w:val="007C4B03"/>
    <w:rsid w:val="007E0D66"/>
    <w:rsid w:val="00810AD2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967EA"/>
    <w:rsid w:val="009A0793"/>
    <w:rsid w:val="009A468A"/>
    <w:rsid w:val="009B0A76"/>
    <w:rsid w:val="00A160D5"/>
    <w:rsid w:val="00A179F7"/>
    <w:rsid w:val="00A527C8"/>
    <w:rsid w:val="00A70BE8"/>
    <w:rsid w:val="00A72342"/>
    <w:rsid w:val="00A807E2"/>
    <w:rsid w:val="00A816E8"/>
    <w:rsid w:val="00A919D5"/>
    <w:rsid w:val="00A95000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835ED"/>
    <w:rsid w:val="00B94C50"/>
    <w:rsid w:val="00BB4FCB"/>
    <w:rsid w:val="00BC701F"/>
    <w:rsid w:val="00BE5AA6"/>
    <w:rsid w:val="00BE6C0D"/>
    <w:rsid w:val="00BF4560"/>
    <w:rsid w:val="00C36CE0"/>
    <w:rsid w:val="00C50752"/>
    <w:rsid w:val="00C54F45"/>
    <w:rsid w:val="00C65F1E"/>
    <w:rsid w:val="00C72411"/>
    <w:rsid w:val="00C80F04"/>
    <w:rsid w:val="00C96426"/>
    <w:rsid w:val="00CC5340"/>
    <w:rsid w:val="00CC7930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A439C"/>
    <w:rsid w:val="00DC40FB"/>
    <w:rsid w:val="00DD1AC1"/>
    <w:rsid w:val="00DE094B"/>
    <w:rsid w:val="00DF1023"/>
    <w:rsid w:val="00DF5C6B"/>
    <w:rsid w:val="00E04EC3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D70FC"/>
    <w:rsid w:val="00EF3670"/>
    <w:rsid w:val="00F372C1"/>
    <w:rsid w:val="00F84C05"/>
    <w:rsid w:val="00F928D1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60C4-3A71-4C85-A6D1-4BD13D13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MIREYA</cp:lastModifiedBy>
  <cp:revision>8</cp:revision>
  <cp:lastPrinted>2020-05-04T22:05:00Z</cp:lastPrinted>
  <dcterms:created xsi:type="dcterms:W3CDTF">2020-09-21T19:03:00Z</dcterms:created>
  <dcterms:modified xsi:type="dcterms:W3CDTF">2020-10-25T04:32:00Z</dcterms:modified>
</cp:coreProperties>
</file>